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eastAsia="楷体_GB2312" w:cs="Times New Roman"/>
        </w:rPr>
      </w:pPr>
      <w:r>
        <w:rPr>
          <w:rFonts w:hint="eastAsia" w:ascii="方正小标宋简体" w:eastAsia="方正小标宋简体" w:cs="Times New Roman"/>
          <w:sz w:val="44"/>
          <w:szCs w:val="44"/>
          <w:lang w:eastAsia="zh-CN"/>
        </w:rPr>
        <w:t>东莞市</w:t>
      </w:r>
      <w:r>
        <w:rPr>
          <w:rFonts w:hint="eastAsia" w:ascii="方正小标宋简体" w:eastAsia="方正小标宋简体" w:cs="Times New Roman"/>
          <w:sz w:val="44"/>
          <w:szCs w:val="44"/>
        </w:rPr>
        <w:t>知识产权公共服务事项清单</w:t>
      </w:r>
      <w:r>
        <w:rPr>
          <w:rFonts w:hint="eastAsia" w:ascii="仿宋_GB2312" w:hAnsi="仿宋_GB2312" w:cs="仿宋_GB2312"/>
          <w:sz w:val="44"/>
          <w:szCs w:val="44"/>
          <w:vertAlign w:val="superscript"/>
        </w:rPr>
        <w:t>1</w:t>
      </w:r>
      <w:r>
        <w:rPr>
          <w:rFonts w:hint="eastAsia" w:eastAsia="楷体_GB2312" w:cs="Times New Roman"/>
        </w:rPr>
        <w:t>（第一版</w:t>
      </w:r>
      <w:r>
        <w:rPr>
          <w:rFonts w:hint="eastAsia" w:eastAsia="楷体_GB2312" w:cs="Times New Roman"/>
          <w:vertAlign w:val="superscript"/>
        </w:rPr>
        <w:t>2</w:t>
      </w:r>
      <w:r>
        <w:rPr>
          <w:rFonts w:hint="eastAsia" w:eastAsia="楷体_GB2312" w:cs="Times New Roman"/>
        </w:rPr>
        <w:t>）</w:t>
      </w:r>
    </w:p>
    <w:tbl>
      <w:tblPr>
        <w:tblStyle w:val="4"/>
        <w:tblW w:w="15131"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01"/>
        <w:gridCol w:w="1210"/>
        <w:gridCol w:w="1673"/>
        <w:gridCol w:w="3789"/>
        <w:gridCol w:w="3586"/>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序号</w:t>
            </w:r>
          </w:p>
        </w:tc>
        <w:tc>
          <w:tcPr>
            <w:tcW w:w="1210" w:type="dxa"/>
            <w:vMerge w:val="restart"/>
            <w:shd w:val="clear" w:color="auto" w:fill="FFFFFF"/>
            <w:noWrap w:val="0"/>
            <w:vAlign w:val="center"/>
          </w:tcPr>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pStyle w:val="2"/>
              <w:rPr>
                <w:rFonts w:hint="eastAsia"/>
                <w:lang w:val="en-US" w:eastAsia="zh-CN"/>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lang w:eastAsia="zh-CN"/>
              </w:rPr>
            </w:pPr>
            <w:r>
              <w:rPr>
                <w:rFonts w:hint="eastAsia" w:ascii="宋体" w:hAnsi="Courier New" w:eastAsia="黑体" w:cs="黑体"/>
                <w:kern w:val="2"/>
                <w:sz w:val="21"/>
                <w:szCs w:val="21"/>
                <w:lang w:val="en-US" w:eastAsia="zh-CN" w:bidi="ar-SA"/>
              </w:rPr>
              <w:t>知识产权创造</w:t>
            </w:r>
          </w:p>
          <w:p>
            <w:pPr>
              <w:pStyle w:val="2"/>
              <w:rPr>
                <w:rFonts w:hint="eastAsia" w:eastAsia="仿宋_GB2312" w:cs="黑体"/>
                <w:sz w:val="21"/>
                <w:szCs w:val="21"/>
                <w:lang w:eastAsia="zh-CN"/>
              </w:rPr>
            </w:pPr>
          </w:p>
        </w:tc>
        <w:tc>
          <w:tcPr>
            <w:tcW w:w="1673"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事项名称</w:t>
            </w:r>
          </w:p>
        </w:tc>
        <w:tc>
          <w:tcPr>
            <w:tcW w:w="3789"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服务内容</w:t>
            </w:r>
          </w:p>
        </w:tc>
        <w:tc>
          <w:tcPr>
            <w:tcW w:w="7658" w:type="dxa"/>
            <w:gridSpan w:val="2"/>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1210"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1673"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3789"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3586" w:type="dxa"/>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线下</w:t>
            </w:r>
            <w:r>
              <w:rPr>
                <w:rFonts w:hint="eastAsia" w:eastAsia="黑体" w:cs="黑体"/>
                <w:sz w:val="21"/>
                <w:szCs w:val="21"/>
                <w:vertAlign w:val="superscript"/>
              </w:rPr>
              <w:t>3</w:t>
            </w:r>
          </w:p>
        </w:tc>
        <w:tc>
          <w:tcPr>
            <w:tcW w:w="4072" w:type="dxa"/>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w:t>
            </w:r>
            <w:r>
              <w:rPr>
                <w:rFonts w:hint="eastAsia" w:eastAsia="黑体" w:cs="黑体"/>
                <w:sz w:val="21"/>
                <w:szCs w:val="21"/>
                <w:vertAlign w:val="superscript"/>
                <w:lang w:val="en-US" w:eastAsia="zh-CN"/>
              </w:rPr>
              <w:t>4</w:t>
            </w:r>
            <w:r>
              <w:rPr>
                <w:rFonts w:hint="default" w:ascii="Times New Roman" w:hAnsi="Times New Roman" w:eastAsia="宋体" w:cs="Times New Roman"/>
                <w:kern w:val="0"/>
                <w:sz w:val="21"/>
                <w:szCs w:val="21"/>
              </w:rPr>
              <w:t>注册申请受理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受理社会公众提交的商标注册申请。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受理社会公众提交的马德里商标国际注册申请。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受理县级以上人民政府指定的地理标志产品保护申请机构或人民政府认定的协会或企业提交的地理标志保护产品申请。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rPr>
              <w:t>国家知识产权局政务服务平台“地理标志”栏目（http://www.cnipa.gov.cn/col/col116/index.html）</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受理申请人提交的地理标志商标申请。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国家知识产权局政务服务平台“地理标志”栏目（http://www.cnipa.gov.cn/col/col116/index.html）</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01" w:type="dxa"/>
            <w:tcBorders>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地理标志专用标志使用申请受理</w:t>
            </w:r>
          </w:p>
        </w:tc>
        <w:tc>
          <w:tcPr>
            <w:tcW w:w="37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受理合法使用人提交的地理标志专用标志使用申请。</w:t>
            </w:r>
          </w:p>
        </w:tc>
        <w:tc>
          <w:tcPr>
            <w:tcW w:w="35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国家知识产权局政务服务平台“地理标志”栏目“地理标志专用标志下载”（http://www.cnipa.gov.cn/col/col116/index.html）</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-34290</wp:posOffset>
                      </wp:positionV>
                      <wp:extent cx="771525" cy="0"/>
                      <wp:effectExtent l="0" t="0" r="0" b="0"/>
                      <wp:wrapNone/>
                      <wp:docPr id="1" name="直接连接符 1"/>
                      <wp:cNvGraphicFramePr/>
                      <a:graphic xmlns:a="http://schemas.openxmlformats.org/drawingml/2006/main">
                        <a:graphicData uri="http://schemas.microsoft.com/office/word/2010/wordprocessingShape">
                          <wps:wsp>
                            <wps:cNvCnPr/>
                            <wps:spPr>
                              <a:xfrm>
                                <a:off x="979170" y="1151255"/>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3pt;margin-top:-2.7pt;height:0pt;width:60.75pt;z-index:251659264;mso-width-relative:page;mso-height-relative:page;" filled="f" stroked="t" coordsize="21600,21600" o:gfxdata="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MHXDVAAAACAEAAA8AAAAAAAAAAQAgAAAAIgAAAGRycy9kb3ducmV2LnhtbFBLAQIUABQAAAAI&#10;AIdO4kBF1RLT8AEAALsDAAAOAAAAAAAAAAEAIAAAACQBAABkcnMvZTJvRG9jLnhtbFBLBQYAAAAA&#10;BgAGAFkBAACGBQAAAAA=&#10;">
                      <v:fill on="f" focussize="0,0"/>
                      <v:stroke weight="0.5pt" color="#000000 [3200]" miterlimit="8" joinstyle="miter"/>
                      <v:imagedata o:title=""/>
                      <o:lock v:ext="edit" aspectratio="f"/>
                    </v:line>
                  </w:pict>
                </mc:Fallback>
              </mc:AlternateContent>
            </w:r>
          </w:p>
        </w:tc>
        <w:tc>
          <w:tcPr>
            <w:tcW w:w="1210"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rPr>
            </w:pPr>
          </w:p>
          <w:p>
            <w:pPr>
              <w:bidi w:val="0"/>
              <w:jc w:val="center"/>
              <w:rPr>
                <w:rFonts w:hint="default"/>
                <w:lang w:val="en-US" w:eastAsia="zh-CN"/>
              </w:rPr>
            </w:pPr>
            <w:r>
              <w:rPr>
                <w:rFonts w:hint="eastAsia" w:ascii="宋体" w:hAnsi="Courier New" w:eastAsia="黑体" w:cs="黑体"/>
                <w:kern w:val="2"/>
                <w:sz w:val="21"/>
                <w:szCs w:val="21"/>
                <w:lang w:val="en-US" w:eastAsia="zh-CN" w:bidi="ar-SA"/>
              </w:rPr>
              <w:t>知识产权管理</w:t>
            </w:r>
          </w:p>
        </w:tc>
        <w:tc>
          <w:tcPr>
            <w:tcW w:w="167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商标注册证明出具</w:t>
            </w:r>
          </w:p>
        </w:tc>
        <w:tc>
          <w:tcPr>
            <w:tcW w:w="37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受理马德里国际商标注册人提交的出具马德里国际商标注册证明的申请。</w:t>
            </w:r>
          </w:p>
        </w:tc>
        <w:tc>
          <w:tcPr>
            <w:tcW w:w="35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tcBorders>
              <w:top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商标变更申请受理</w:t>
            </w:r>
          </w:p>
        </w:tc>
        <w:tc>
          <w:tcPr>
            <w:tcW w:w="37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受理商标申请人或权利人提交的商标注册申请项目变更的申请。</w:t>
            </w:r>
          </w:p>
        </w:tc>
        <w:tc>
          <w:tcPr>
            <w:tcW w:w="35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商标更正申请受理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受理商标申请人或权利人提交的商标更正的申请。内容仅限于申请文件或者注册文件中的名义、地址、商品等项目个别文字错误，不涉及实质性内容。</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注册商标转让或移转申请受理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受理商标权转让人和受让人提交的转让或移转注册商标申请。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注册商标续展申请受理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受理商标权利人提交的注册商标续展申请。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rPr>
            </w:pPr>
          </w:p>
          <w:p>
            <w:pPr>
              <w:bidi w:val="0"/>
              <w:jc w:val="center"/>
              <w:rPr>
                <w:rFonts w:hint="default" w:ascii="Calibri" w:hAnsi="Calibri" w:eastAsia="仿宋_GB2312" w:cs="Times New Roman"/>
                <w:kern w:val="2"/>
                <w:sz w:val="32"/>
                <w:szCs w:val="24"/>
                <w:lang w:val="en-US" w:eastAsia="zh-CN" w:bidi="ar-SA"/>
              </w:rPr>
            </w:pPr>
            <w:r>
              <w:rPr>
                <w:rFonts w:hint="eastAsia" w:ascii="宋体" w:hAnsi="Courier New" w:eastAsia="黑体" w:cs="黑体"/>
                <w:kern w:val="2"/>
                <w:sz w:val="21"/>
                <w:szCs w:val="21"/>
                <w:lang w:val="en-US" w:eastAsia="zh-CN" w:bidi="ar-SA"/>
              </w:rPr>
              <w:t>知识产权运用</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注册商标使用许可备案申请受理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受理商标注册人及注册商标使用被许可人提交的注册商标使用许可备案申请。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注册商标专用权质押登记办理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受理注册商标专用权出质人与质权人提交的注册商标专用权质押登记申请。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numPr>
                <w:ilvl w:val="0"/>
                <w:numId w:val="0"/>
              </w:numPr>
              <w:tabs>
                <w:tab w:val="left" w:pos="0"/>
              </w:tabs>
              <w:spacing w:line="340" w:lineRule="exact"/>
              <w:ind w:firstLine="220" w:firstLineChars="100"/>
              <w:jc w:val="both"/>
              <w:rPr>
                <w:rFonts w:hint="default"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11</w:t>
            </w:r>
          </w:p>
        </w:tc>
        <w:tc>
          <w:tcPr>
            <w:tcW w:w="1210" w:type="dxa"/>
            <w:vMerge w:val="restart"/>
            <w:noWrap w:val="0"/>
            <w:vAlign w:val="center"/>
          </w:tcPr>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default" w:ascii="Times New Roman" w:hAnsi="Times New Roman" w:eastAsia="宋体" w:cs="Times New Roman"/>
                <w:color w:val="auto"/>
                <w:kern w:val="2"/>
                <w:sz w:val="32"/>
                <w:szCs w:val="21"/>
                <w:lang w:val="en-US" w:eastAsia="zh-CN" w:bidi="ar-SA"/>
              </w:rPr>
            </w:pPr>
            <w:r>
              <w:rPr>
                <w:rFonts w:hint="eastAsia" w:ascii="宋体" w:hAnsi="Courier New" w:eastAsia="黑体" w:cs="黑体"/>
                <w:kern w:val="2"/>
                <w:sz w:val="21"/>
                <w:szCs w:val="21"/>
                <w:lang w:val="en-US" w:eastAsia="zh-CN" w:bidi="ar-SA"/>
              </w:rPr>
              <w:t>知识产权保护</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维权援助申请受理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受理社会公众、知识产权权利人的维权援助申请，提供</w:t>
            </w:r>
            <w:r>
              <w:rPr>
                <w:rFonts w:hint="eastAsia" w:ascii="Times New Roman" w:hAnsi="Times New Roman" w:eastAsia="宋体" w:cs="Times New Roman"/>
                <w:color w:val="auto"/>
                <w:sz w:val="21"/>
                <w:szCs w:val="21"/>
              </w:rPr>
              <w:t>有关</w:t>
            </w:r>
            <w:r>
              <w:rPr>
                <w:rFonts w:hint="default" w:ascii="Times New Roman" w:hAnsi="Times New Roman" w:eastAsia="宋体" w:cs="Times New Roman"/>
                <w:color w:val="auto"/>
                <w:sz w:val="21"/>
                <w:szCs w:val="21"/>
              </w:rPr>
              <w:t>知识产权</w:t>
            </w:r>
            <w:r>
              <w:rPr>
                <w:rFonts w:hint="eastAsia" w:ascii="Times New Roman" w:hAnsi="Times New Roman" w:eastAsia="宋体" w:cs="Times New Roman"/>
                <w:color w:val="auto"/>
                <w:sz w:val="21"/>
                <w:szCs w:val="21"/>
              </w:rPr>
              <w:t>法律法规、法律状态</w:t>
            </w:r>
            <w:r>
              <w:rPr>
                <w:rFonts w:hint="default" w:ascii="Times New Roman" w:hAnsi="Times New Roman" w:eastAsia="宋体" w:cs="Times New Roman"/>
                <w:color w:val="auto"/>
                <w:sz w:val="21"/>
                <w:szCs w:val="21"/>
              </w:rPr>
              <w:t>咨询意见</w:t>
            </w:r>
            <w:r>
              <w:rPr>
                <w:rFonts w:hint="eastAsia" w:ascii="Times New Roman" w:hAnsi="Times New Roman" w:eastAsia="宋体" w:cs="Times New Roman"/>
                <w:color w:val="auto"/>
                <w:sz w:val="21"/>
                <w:szCs w:val="21"/>
              </w:rPr>
              <w:t>等维权援助服务</w:t>
            </w:r>
            <w:r>
              <w:rPr>
                <w:rFonts w:hint="default" w:ascii="Times New Roman" w:hAnsi="Times New Roman" w:eastAsia="宋体" w:cs="Times New Roman"/>
                <w:color w:val="auto"/>
                <w:sz w:val="21"/>
                <w:szCs w:val="21"/>
              </w:rPr>
              <w:t>。</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莞理工学院、东莞港（滨海湾）分局、东莞市知识产权保护协会、厚街快速维权援助中心、道滘华科城、横沥模具产业协同保护中心、莞城分局、谢岗分局、东莞市市场监管共建公治联合会、东莞市万江茶叶行业协会、服装设计与互联网+孵化器、东莞市品牌促进会、东莞市台商投资企业协会、东莞市外商投资企业协会、东莞市高新技术产业协会共16个维权援助工作站</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p>
        </w:tc>
        <w:tc>
          <w:tcPr>
            <w:tcW w:w="4072" w:type="dxa"/>
            <w:noWrap w:val="0"/>
            <w:vAlign w:val="center"/>
          </w:tcPr>
          <w:p>
            <w:pPr>
              <w:spacing w:line="23" w:lineRule="atLeast"/>
              <w:jc w:val="left"/>
              <w:rPr>
                <w:rFonts w:hint="default" w:ascii="Times New Roman" w:hAnsi="Times New Roman" w:eastAsia="宋体" w:cs="Times New Roman"/>
                <w:color w:val="auto"/>
                <w:kern w:val="2"/>
                <w:sz w:val="32"/>
                <w:szCs w:val="21"/>
                <w:lang w:val="en-US" w:eastAsia="zh-CN" w:bidi="ar-SA"/>
              </w:rPr>
            </w:pPr>
            <w:r>
              <w:rPr>
                <w:rFonts w:hint="eastAsia" w:ascii="Times New Roman" w:hAnsi="Times New Roman" w:eastAsia="宋体" w:cs="Times New Roman"/>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海外维权申请受理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受理社会公众的海外维权援助申请，提供有关维权指导服务等。</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广东省知识产权维权援助公共服务平台（https://gdwq.gpic.gd.cn/）；粤商通（手机注册登录粤商通，搜索“知识产权维权援助”）。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01"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知识产权纠纷人民调解申请受理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受理社会公众、纠纷当事人的纠纷调解申请，对当事人纠纷争议点进行调解。</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广东省知识产权维权援助公共服务平台（</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"https://gdwq.gpic.gd.cn/"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https://gdwq.gpic.gd.cn/</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1210" w:type="dxa"/>
            <w:vMerge w:val="restart"/>
            <w:noWrap w:val="0"/>
            <w:vAlign w:val="center"/>
          </w:tcPr>
          <w:p>
            <w:pPr>
              <w:keepNext w:val="0"/>
              <w:keepLines w:val="0"/>
              <w:pageBreakBefore w:val="0"/>
              <w:widowControl w:val="0"/>
              <w:tabs>
                <w:tab w:val="left" w:pos="305"/>
              </w:tabs>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sz w:val="21"/>
                <w:szCs w:val="21"/>
                <w:lang w:eastAsia="zh-CN"/>
              </w:rPr>
            </w:pPr>
            <w:r>
              <w:rPr>
                <w:rFonts w:hint="eastAsia" w:ascii="宋体" w:hAnsi="Courier New" w:eastAsia="黑体" w:cs="黑体"/>
                <w:kern w:val="2"/>
                <w:sz w:val="21"/>
                <w:szCs w:val="21"/>
                <w:lang w:val="en-US" w:eastAsia="zh-CN" w:bidi="ar-SA"/>
              </w:rPr>
              <w:t>知识产权服务</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商标业务咨询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向社会公众或申请人提供商标申请业务咨询、商标申请流程及状态信息咨询服务。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国家知识产权局商标业务东莞受理窗口。支持电话咨询</w:t>
            </w:r>
          </w:p>
        </w:tc>
        <w:tc>
          <w:tcPr>
            <w:tcW w:w="4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广东省知识产权维权援助公共服务平台（</w:t>
            </w:r>
            <w:r>
              <w:rPr>
                <w:rFonts w:hint="default" w:ascii="Times New Roman" w:hAnsi="Times New Roman" w:eastAsia="宋体" w:cs="Times New Roman"/>
                <w:sz w:val="21"/>
                <w:szCs w:val="21"/>
                <w:lang w:eastAsia="zh-CN"/>
              </w:rPr>
              <w:fldChar w:fldCharType="begin"/>
            </w:r>
            <w:r>
              <w:rPr>
                <w:rFonts w:hint="default" w:ascii="Times New Roman" w:hAnsi="Times New Roman" w:eastAsia="宋体" w:cs="Times New Roman"/>
                <w:sz w:val="21"/>
                <w:szCs w:val="21"/>
                <w:lang w:eastAsia="zh-CN"/>
              </w:rPr>
              <w:instrText xml:space="preserve"> HYPERLINK "https://gdwq.gpic.gd.cn/" </w:instrText>
            </w:r>
            <w:r>
              <w:rPr>
                <w:rFonts w:hint="default" w:ascii="Times New Roman" w:hAnsi="Times New Roman" w:eastAsia="宋体" w:cs="Times New Roman"/>
                <w:sz w:val="21"/>
                <w:szCs w:val="21"/>
                <w:lang w:eastAsia="zh-CN"/>
              </w:rPr>
              <w:fldChar w:fldCharType="separate"/>
            </w:r>
            <w:r>
              <w:rPr>
                <w:rFonts w:hint="default" w:ascii="Times New Roman" w:hAnsi="Times New Roman" w:eastAsia="宋体" w:cs="Times New Roman"/>
                <w:sz w:val="21"/>
                <w:szCs w:val="21"/>
                <w:lang w:eastAsia="zh-CN"/>
              </w:rPr>
              <w:t>https://gdwq.gpic.gd.cn/</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向社会公众或申请人提供商标异议、撤销、撤三等业务咨询服务。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东莞市知识产权保护中心。</w:t>
            </w:r>
            <w:r>
              <w:rPr>
                <w:rFonts w:hint="default" w:ascii="Times New Roman" w:hAnsi="Times New Roman" w:eastAsia="宋体" w:cs="Times New Roman"/>
                <w:sz w:val="21"/>
                <w:szCs w:val="21"/>
              </w:rPr>
              <w:t>支持电话咨询。</w:t>
            </w:r>
          </w:p>
        </w:tc>
        <w:tc>
          <w:tcPr>
            <w:tcW w:w="4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rPr>
      </w:pP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lang w:val="en-US" w:eastAsia="zh-CN"/>
        </w:rPr>
      </w:pPr>
      <w:r>
        <w:rPr>
          <w:rFonts w:hint="eastAsia" w:ascii="黑体" w:hAnsi="黑体" w:eastAsia="黑体" w:cs="黑体"/>
          <w:lang w:eastAsia="zh-CN"/>
        </w:rPr>
        <w:t>附表</w:t>
      </w:r>
      <w:r>
        <w:rPr>
          <w:rFonts w:hint="eastAsia" w:ascii="黑体" w:hAnsi="黑体" w:eastAsia="黑体" w:cs="黑体"/>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东莞市知识产权公共服务事项清单</w:t>
      </w:r>
    </w:p>
    <w:p>
      <w:pPr>
        <w:pStyle w:val="2"/>
        <w:rPr>
          <w:rFonts w:hint="default"/>
          <w:lang w:val="en-US" w:eastAsia="zh-CN"/>
        </w:rPr>
      </w:pPr>
    </w:p>
    <w:tbl>
      <w:tblPr>
        <w:tblStyle w:val="4"/>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50"/>
        <w:gridCol w:w="3570"/>
        <w:gridCol w:w="2070"/>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lang w:val="en-US" w:eastAsia="zh-CN"/>
              </w:rPr>
            </w:pPr>
            <w:r>
              <w:rPr>
                <w:rFonts w:hint="eastAsia" w:eastAsia="黑体" w:cs="黑体"/>
                <w:sz w:val="21"/>
                <w:szCs w:val="21"/>
                <w:lang w:val="en-US" w:eastAsia="zh-CN"/>
              </w:rPr>
              <w:t>序号</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lang w:val="en-US" w:eastAsia="zh-CN"/>
              </w:rPr>
            </w:pPr>
            <w:r>
              <w:rPr>
                <w:rFonts w:hint="eastAsia" w:eastAsia="黑体" w:cs="黑体"/>
                <w:sz w:val="21"/>
                <w:szCs w:val="21"/>
                <w:lang w:val="en-US" w:eastAsia="zh-CN"/>
              </w:rPr>
              <w:t>机构名称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default" w:eastAsia="黑体" w:cs="黑体"/>
                <w:sz w:val="21"/>
                <w:szCs w:val="21"/>
                <w:lang w:val="en-US" w:eastAsia="zh-CN"/>
              </w:rPr>
            </w:pPr>
            <w:r>
              <w:rPr>
                <w:rFonts w:hint="eastAsia" w:eastAsia="黑体" w:cs="黑体"/>
                <w:sz w:val="21"/>
                <w:szCs w:val="21"/>
                <w:lang w:val="en-US" w:eastAsia="zh-CN"/>
              </w:rPr>
              <w:t>服务内容</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服务形式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线下（平台地址）</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东莞市新材料产业知识产权运营服务平台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1、高价值专利的培育与转化；</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2、专利导航分析；</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3、知识产权价值评议。</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4、知识产权运营交易；</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5、知识产权金融；</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6、拟上市企业知识产权合规辅导</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7、知识产权咨询</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8、知识产权宣传培训</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9、知识产权托管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东莞市松山湖研发五路1号5栋1003 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平台网址：https://www.dongguanipos.com/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公众号名称：东莞新材料IP创新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Times New Roman"/>
                <w:b w:val="0"/>
                <w:bCs w:val="0"/>
                <w:i w:val="0"/>
                <w:iCs w:val="0"/>
                <w:color w:val="000000"/>
                <w:kern w:val="0"/>
                <w:sz w:val="21"/>
                <w:szCs w:val="21"/>
                <w:u w:val="none"/>
                <w:lang w:val="en-US" w:eastAsia="zh-CN" w:bidi="ar"/>
              </w:rPr>
              <w:t>2</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东莞市新能源产业知识产权运营服务平台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培育；2、海外专利布局；3、知识产权托管；4、贯标、示范企业辅导；5、知识产权咨询；6、知识产权培训；7、专利运营交易8、专利评估；9、知识产权联盟组建及运营；10、知识产权数据库；11、专利导航分析；12、知识产权风险预警及应对分析；13、知识产权竞争情报分析；14、知识产权质押融资；15、知识产权保险；16、投融资对接。</w:t>
            </w:r>
          </w:p>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广东省东莞市松山湖高新区学府路1号松山湖国际创新创业社区G4栋17楼</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平台网址：https://newenergy-ip.com（新版独立官网正在备案中，预</w:t>
            </w:r>
            <w:bookmarkStart w:id="0" w:name="_GoBack"/>
            <w:bookmarkEnd w:id="0"/>
            <w:r>
              <w:rPr>
                <w:rFonts w:hint="eastAsia" w:ascii="Times New Roman" w:hAnsi="Times New Roman" w:eastAsia="宋体" w:cs="Times New Roman"/>
                <w:b w:val="0"/>
                <w:bCs w:val="0"/>
                <w:i w:val="0"/>
                <w:iCs w:val="0"/>
                <w:color w:val="000000"/>
                <w:kern w:val="0"/>
                <w:sz w:val="21"/>
                <w:szCs w:val="21"/>
                <w:u w:val="none"/>
                <w:lang w:val="en-US" w:eastAsia="zh-CN" w:bidi="ar"/>
              </w:rPr>
              <w:t>计3月中旬正式上线）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公众号名称：华中粤创知识产权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3</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东莞市新一代信息技术产业知识产权运营服务平台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1、产业知识产权数据服务；                    2、高价值专利培育和专利导航；                3、知识产权运营和成果转化；                  4、竞争对手知识产权调研监控；                5、知识产权预警分析；                        6、海外知识产权布局；                        7、中小企业知识产权托管；                     8、贯标、示范企业辅导；                      9、知识产权产业联盟；                       10、知识产权培训和人才培育。</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东莞市松山湖研发五路1号5栋1803-1805 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平台网址：https://it.gaohangip.com/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公众号名称：东莞新一代信息技术产业IP运营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4</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东莞市生物医药产业知识产权运营服务平台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1、高价值专利培育布局服务；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2、知识产权维权援助；</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3、专利导航分析服务；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4、知识产权运营交易服务；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5、知识产权金融创新服务；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6、产业知识产权联盟建设；</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7、示范企业培育服务；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8、知识产权宣传培训服务；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9、企业商标品牌建设服务；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10、地理标志促进服务。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东莞松山湖研发五路林润智谷5栋406-407</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平台网址：https://dongguan.7ipr.com/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5</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东莞市先进技术产业知识产权运营服务平台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1、企业知识产权托管服务；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2、知识产权运营；</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3、高价值专利培育与布局；</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4、知识产权咨询、培训服务；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5、专利导航分析服务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东莞松山湖总部三路20号中汇世银大厦402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平台网址：https://www.jmrhcy.com/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公众号名称：东莞先进技术产业IP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6</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东莞市高端装备产业知识产权运营服务平台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1、企业IP托管；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2、高价值专利培育；</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3、专利导航分析；</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5、知识产权咨询；</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6、知识产权金融服务；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7、知识产权培训</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广东省东莞市黄江镇北岸永顺街3号1栋100室之一</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平台网址：www.dongguanip.com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公众号名称：东莞高端装备知产平台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7</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东莞市智能家具产业知识产权运营服务平台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1、知识产权大数据服务；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2、知识产权运营服务；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3、专利信息情况研究服务；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4、高价值专利培育与保护服务；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5、知识产权管理规范服务；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6、企业知识产权管理托管服务；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7、知识产权金融服务；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8、产业知识产权联盟；</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9、知识产权维权咨询讲座和培训服务。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东莞市厚街镇科技大道黄金小镇8栋4单元1号</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平台网址：https://sfio.ipsunlight.com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公众号名称：厚街智能家具知识产权运营平台</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lang w:val="en-US" w:eastAsia="zh-CN"/>
        </w:rPr>
      </w:pPr>
      <w:r>
        <w:rPr>
          <w:rFonts w:hint="eastAsia" w:ascii="黑体" w:hAnsi="黑体" w:eastAsia="黑体" w:cs="黑体"/>
        </w:rPr>
        <w:t>附表</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办理地址及咨询电话</w:t>
      </w:r>
    </w:p>
    <w:p>
      <w:pPr>
        <w:pStyle w:val="2"/>
        <w:rPr>
          <w:rFonts w:hint="eastAsia"/>
        </w:rPr>
      </w:pPr>
    </w:p>
    <w:tbl>
      <w:tblPr>
        <w:tblStyle w:val="5"/>
        <w:tblW w:w="14824"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0"/>
        <w:gridCol w:w="4749"/>
        <w:gridCol w:w="735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8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序号</w:t>
            </w:r>
          </w:p>
        </w:tc>
        <w:tc>
          <w:tcPr>
            <w:tcW w:w="4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线下办理窗口</w:t>
            </w:r>
          </w:p>
        </w:tc>
        <w:tc>
          <w:tcPr>
            <w:tcW w:w="73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线下办理（邮寄</w:t>
            </w:r>
            <w:r>
              <w:rPr>
                <w:rFonts w:hint="eastAsia" w:eastAsia="黑体" w:cs="黑体"/>
                <w:sz w:val="21"/>
                <w:szCs w:val="21"/>
                <w:vertAlign w:val="superscript"/>
                <w:lang w:val="en-US" w:eastAsia="zh-CN"/>
              </w:rPr>
              <w:t>5</w:t>
            </w:r>
            <w:r>
              <w:rPr>
                <w:rFonts w:hint="eastAsia" w:ascii="黑体" w:hAnsi="黑体" w:eastAsia="黑体" w:cs="Times New Roman"/>
                <w:sz w:val="24"/>
                <w:szCs w:val="24"/>
              </w:rPr>
              <w:t>）地址</w:t>
            </w:r>
          </w:p>
        </w:tc>
        <w:tc>
          <w:tcPr>
            <w:tcW w:w="18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国家知识产权局商标业务东莞受理窗口</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广东省东莞市鸿福路199号市民服务中心综合服务一区D05、D06号窗</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0769-22835991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广州专利代办处东莞服务站</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广东省东莞市松山湖玉兰路大学创新城A3栋</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0769-22835991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东莞市新材料产业知识产权运营服务平台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东莞市松山湖研发五路1号5栋1003 室</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13425115220、18973259711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东莞市新能源产业知识产权运营服务平台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广东省东莞市松山湖高新区学府路1号松山湖国际创新创业社区G4栋17楼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0769-22982198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东莞市新一代信息技术产业知识产权运营服务平台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东莞市松山湖研发五路1号5栋1803-1805 室</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18681151146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东莞市生物医药产业知识产权运营服务平台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东莞松山湖研发五路林润智谷5栋406-407</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15018029906、17620021246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东莞市先进技术产业知识产权运营服务平台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东莞松山湖总部三路20号中汇世银大厦402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18002839079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东莞市高端装备产业知识产权运营服务平台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广东省东莞市黄江镇北岸永顺街3号1栋100室之一</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0769-87006576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东莞市智能家具产业知识产权运营服务平台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东莞市厚街镇科技大道黄金小镇8栋4单元1号</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0769-38677175</w:t>
            </w:r>
          </w:p>
        </w:tc>
      </w:tr>
    </w:tbl>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本清单内的公共服务事项面向全</w:t>
      </w:r>
      <w:r>
        <w:rPr>
          <w:rFonts w:hint="eastAsia" w:ascii="宋体" w:hAnsi="宋体" w:eastAsia="宋体" w:cs="宋体"/>
          <w:color w:val="000000"/>
          <w:sz w:val="21"/>
          <w:szCs w:val="21"/>
          <w:lang w:eastAsia="zh-CN"/>
        </w:rPr>
        <w:t>市</w:t>
      </w:r>
      <w:r>
        <w:rPr>
          <w:rFonts w:hint="eastAsia" w:ascii="宋体" w:hAnsi="宋体" w:eastAsia="宋体" w:cs="宋体"/>
          <w:color w:val="000000"/>
          <w:sz w:val="21"/>
          <w:szCs w:val="21"/>
        </w:rPr>
        <w:t>社会公众，服务主体为</w:t>
      </w:r>
      <w:r>
        <w:rPr>
          <w:rFonts w:hint="eastAsia" w:ascii="宋体" w:hAnsi="宋体" w:eastAsia="宋体" w:cs="宋体"/>
          <w:color w:val="000000"/>
          <w:sz w:val="21"/>
          <w:szCs w:val="21"/>
          <w:lang w:eastAsia="zh-CN"/>
        </w:rPr>
        <w:t>东莞市</w:t>
      </w:r>
      <w:r>
        <w:rPr>
          <w:rFonts w:hint="eastAsia" w:ascii="宋体" w:hAnsi="宋体" w:eastAsia="宋体" w:cs="宋体"/>
          <w:color w:val="000000"/>
          <w:sz w:val="21"/>
          <w:szCs w:val="21"/>
        </w:rPr>
        <w:t>知识产权局相关部门、</w:t>
      </w:r>
      <w:r>
        <w:rPr>
          <w:rFonts w:hint="eastAsia" w:ascii="宋体" w:hAnsi="宋体" w:eastAsia="宋体" w:cs="宋体"/>
          <w:color w:val="000000"/>
          <w:sz w:val="21"/>
          <w:szCs w:val="21"/>
          <w:lang w:eastAsia="zh-CN"/>
        </w:rPr>
        <w:t>东莞市</w:t>
      </w:r>
      <w:r>
        <w:rPr>
          <w:rFonts w:hint="eastAsia" w:ascii="宋体" w:hAnsi="宋体" w:eastAsia="宋体" w:cs="宋体"/>
          <w:color w:val="000000"/>
          <w:sz w:val="21"/>
          <w:szCs w:val="21"/>
        </w:rPr>
        <w:t>知识产权保护中心、</w:t>
      </w:r>
      <w:r>
        <w:rPr>
          <w:rFonts w:hint="eastAsia" w:ascii="宋体" w:hAnsi="宋体" w:eastAsia="宋体" w:cs="宋体"/>
          <w:color w:val="000000"/>
          <w:sz w:val="21"/>
          <w:szCs w:val="21"/>
          <w:lang w:eastAsia="zh-CN"/>
        </w:rPr>
        <w:t>国家知识产权局</w:t>
      </w:r>
      <w:r>
        <w:rPr>
          <w:rFonts w:hint="eastAsia" w:ascii="宋体" w:hAnsi="宋体" w:eastAsia="宋体" w:cs="宋体"/>
          <w:color w:val="000000"/>
          <w:sz w:val="21"/>
          <w:szCs w:val="21"/>
        </w:rPr>
        <w:t>商标业务</w:t>
      </w:r>
      <w:r>
        <w:rPr>
          <w:rFonts w:hint="eastAsia" w:ascii="宋体" w:hAnsi="宋体" w:eastAsia="宋体" w:cs="宋体"/>
          <w:color w:val="000000"/>
          <w:sz w:val="21"/>
          <w:szCs w:val="21"/>
          <w:lang w:eastAsia="zh-CN"/>
        </w:rPr>
        <w:t>东莞</w:t>
      </w:r>
      <w:r>
        <w:rPr>
          <w:rFonts w:hint="eastAsia" w:ascii="宋体" w:hAnsi="宋体" w:eastAsia="宋体" w:cs="宋体"/>
          <w:color w:val="000000"/>
          <w:sz w:val="21"/>
          <w:szCs w:val="21"/>
        </w:rPr>
        <w:t>受理窗口。</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i w:val="0"/>
          <w:color w:val="000000"/>
          <w:sz w:val="21"/>
          <w:szCs w:val="21"/>
          <w:vertAlign w:val="superscript"/>
        </w:rPr>
        <w:t>2</w:t>
      </w:r>
      <w:r>
        <w:rPr>
          <w:rFonts w:hint="eastAsia" w:ascii="宋体" w:hAnsi="宋体" w:eastAsia="宋体" w:cs="宋体"/>
          <w:color w:val="000000"/>
          <w:sz w:val="21"/>
          <w:szCs w:val="21"/>
        </w:rPr>
        <w:t>该版本为第一批知识产权公共服务事项清单，后续将根据公共服务实际情况及发展变化进行动态调整，并及时更新发布新版本。</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i w:val="0"/>
          <w:color w:val="000000"/>
          <w:sz w:val="21"/>
          <w:szCs w:val="21"/>
          <w:vertAlign w:val="superscript"/>
        </w:rPr>
        <w:t>3</w:t>
      </w:r>
      <w:r>
        <w:rPr>
          <w:rFonts w:hint="eastAsia" w:ascii="宋体" w:hAnsi="宋体" w:eastAsia="宋体" w:cs="宋体"/>
          <w:color w:val="000000"/>
          <w:sz w:val="21"/>
          <w:szCs w:val="21"/>
          <w:lang w:eastAsia="zh-CN"/>
        </w:rPr>
        <w:t>市</w:t>
      </w:r>
      <w:r>
        <w:rPr>
          <w:rFonts w:hint="eastAsia" w:ascii="宋体" w:hAnsi="宋体" w:eastAsia="宋体" w:cs="宋体"/>
          <w:color w:val="000000"/>
          <w:sz w:val="21"/>
          <w:szCs w:val="21"/>
        </w:rPr>
        <w:t>内各知识产权业务服务窗口及商标业务受理窗口，提供本清单内服务事项的线下办理渠道。</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eastAsia="黑体" w:cs="黑体"/>
          <w:sz w:val="21"/>
          <w:szCs w:val="21"/>
          <w:vertAlign w:val="superscript"/>
          <w:lang w:val="en-US" w:eastAsia="zh-CN"/>
        </w:rPr>
        <w:t>4</w:t>
      </w:r>
      <w:r>
        <w:rPr>
          <w:rFonts w:hint="eastAsia" w:ascii="宋体" w:hAnsi="宋体" w:eastAsia="宋体" w:cs="宋体"/>
          <w:color w:val="000000"/>
          <w:sz w:val="21"/>
          <w:szCs w:val="21"/>
        </w:rPr>
        <w:t>本清单中所列商标有关服务事项均包含地理标志商标。</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eastAsia="黑体" w:cs="黑体"/>
          <w:sz w:val="21"/>
          <w:szCs w:val="21"/>
          <w:vertAlign w:val="superscript"/>
          <w:lang w:val="en-US" w:eastAsia="zh-CN"/>
        </w:rPr>
        <w:t>5</w:t>
      </w:r>
      <w:r>
        <w:rPr>
          <w:rFonts w:hint="eastAsia" w:ascii="宋体" w:hAnsi="宋体" w:eastAsia="宋体" w:cs="宋体"/>
          <w:color w:val="000000"/>
          <w:sz w:val="21"/>
          <w:szCs w:val="21"/>
        </w:rPr>
        <w:t>邮寄地址仅对接受邮寄的事项和服务主体有效。</w:t>
      </w:r>
    </w:p>
    <w:p>
      <w:pPr>
        <w:spacing w:line="300" w:lineRule="exact"/>
        <w:ind w:firstLine="412"/>
        <w:rPr>
          <w:rFonts w:cs="Times New Roman"/>
          <w:sz w:val="21"/>
          <w:szCs w:val="21"/>
        </w:rPr>
      </w:pPr>
    </w:p>
    <w:p>
      <w:pPr>
        <w:ind w:firstLine="0" w:firstLineChars="0"/>
        <w:rPr>
          <w:rFonts w:ascii="仿宋_GB2312"/>
          <w:szCs w:val="30"/>
        </w:rPr>
      </w:pPr>
    </w:p>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81041"/>
    <w:multiLevelType w:val="singleLevel"/>
    <w:tmpl w:val="1898104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C7D6E"/>
    <w:rsid w:val="0B1476E8"/>
    <w:rsid w:val="198459EC"/>
    <w:rsid w:val="305B068C"/>
    <w:rsid w:val="3ABC05A7"/>
    <w:rsid w:val="4D6C7D6E"/>
    <w:rsid w:val="5C6426A9"/>
    <w:rsid w:val="630D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2022-02-21T01:30:00Z</dcterms:created>
  <dc:creator>钟铿</dc:creator>
  <cp:lastModifiedBy>钟铿</cp:lastModifiedBy>
  <cp:lastPrinted>2022-03-03T08:33:00Z</cp:lastPrinted>
  <dcterms:modified xsi:type="dcterms:W3CDTF">2022-03-15T03:17:28Z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