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东莞市东城街道创建省级食品安全示范区</w:t>
      </w: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市级初评工作报告</w:t>
      </w:r>
    </w:p>
    <w:p>
      <w:pPr>
        <w:pStyle w:val="2"/>
        <w:spacing w:line="560" w:lineRule="exact"/>
        <w:rPr>
          <w:rFonts w:ascii="Times New Roman" w:hAnsi="Times New Roman" w:cs="Times New Roman"/>
        </w:rPr>
      </w:pPr>
    </w:p>
    <w:p>
      <w:pPr>
        <w:tabs>
          <w:tab w:val="left" w:pos="851"/>
        </w:tabs>
        <w:overflowPunct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自2017年创建广东省食品安全示范区以来，东城街道认真贯彻落实习近平新时代中国特色社会主义思想和党的十九大精神，坚决落实上级有关食品安全决策部署，将创建广东省食品安全示范区作为促进经济社会高质量发展的重要抓手，以人民群众为中心，注重源头预防，加强日常监管，坚持守底线、保安全、促发展，做大做强，补齐补全短板，构建长效监管机制，切实保障人民群众饮食安全，牢牢守住不发生系统性、区域性安全风险的底线，全力维护食品安全与社会和谐稳定。</w:t>
      </w:r>
    </w:p>
    <w:p>
      <w:pPr>
        <w:tabs>
          <w:tab w:val="left" w:pos="851"/>
        </w:tabs>
        <w:overflowPunct w:val="0"/>
        <w:spacing w:line="59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受东莞市食药安委委托，市食药安办严格</w:t>
      </w:r>
      <w:r>
        <w:rPr>
          <w:rFonts w:ascii="Times New Roman" w:hAnsi="Times New Roman" w:eastAsia="仿宋_GB2312" w:cs="Times New Roman"/>
          <w:kern w:val="0"/>
          <w:sz w:val="32"/>
          <w:szCs w:val="32"/>
        </w:rPr>
        <w:t>按照</w:t>
      </w:r>
      <w:r>
        <w:rPr>
          <w:rFonts w:hint="eastAsia" w:ascii="仿宋_GB2312" w:eastAsia="仿宋_GB2312"/>
          <w:sz w:val="32"/>
          <w:szCs w:val="32"/>
        </w:rPr>
        <w:t>《广东省食品安全示范城市（县）评价与管理办法》和《广东省食品安全示范城市（县）评价细则》</w:t>
      </w:r>
      <w:r>
        <w:rPr>
          <w:rFonts w:ascii="Times New Roman" w:hAnsi="Times New Roman" w:eastAsia="仿宋_GB2312" w:cs="Times New Roman"/>
          <w:kern w:val="0"/>
          <w:sz w:val="32"/>
          <w:szCs w:val="32"/>
        </w:rPr>
        <w:t>要求，组织</w:t>
      </w:r>
      <w:r>
        <w:rPr>
          <w:rFonts w:eastAsia="仿宋_GB2312"/>
          <w:color w:val="000000"/>
          <w:spacing w:val="6"/>
          <w:sz w:val="32"/>
          <w:szCs w:val="32"/>
        </w:rPr>
        <w:t>市</w:t>
      </w:r>
      <w:r>
        <w:rPr>
          <w:rFonts w:hint="eastAsia" w:eastAsia="仿宋_GB2312"/>
          <w:color w:val="000000"/>
          <w:spacing w:val="6"/>
          <w:sz w:val="32"/>
          <w:szCs w:val="32"/>
        </w:rPr>
        <w:t>发展和改革局、教育局、</w:t>
      </w:r>
      <w:r>
        <w:rPr>
          <w:rFonts w:eastAsia="仿宋_GB2312"/>
          <w:color w:val="000000"/>
          <w:spacing w:val="6"/>
          <w:sz w:val="32"/>
          <w:szCs w:val="32"/>
        </w:rPr>
        <w:t>农业农村局、卫生健康局、市场监管局</w:t>
      </w:r>
      <w:r>
        <w:rPr>
          <w:rFonts w:hint="eastAsia" w:eastAsia="仿宋_GB2312"/>
          <w:color w:val="000000"/>
          <w:spacing w:val="6"/>
          <w:sz w:val="32"/>
          <w:szCs w:val="32"/>
        </w:rPr>
        <w:t>，市餐饮行业协会，市团餐与配送行业协会等</w:t>
      </w:r>
      <w:r>
        <w:rPr>
          <w:rFonts w:ascii="Times New Roman" w:hAnsi="Times New Roman" w:eastAsia="仿宋_GB2312" w:cs="Times New Roman"/>
          <w:kern w:val="0"/>
          <w:sz w:val="32"/>
          <w:szCs w:val="32"/>
        </w:rPr>
        <w:t>对东城街道创建省食品安全示范区</w:t>
      </w:r>
      <w:r>
        <w:rPr>
          <w:rFonts w:hint="eastAsia" w:ascii="Times New Roman" w:hAnsi="Times New Roman" w:eastAsia="仿宋_GB2312" w:cs="Times New Roman"/>
          <w:kern w:val="0"/>
          <w:sz w:val="32"/>
          <w:szCs w:val="32"/>
        </w:rPr>
        <w:t>开展市级初评</w:t>
      </w:r>
      <w:r>
        <w:rPr>
          <w:rFonts w:ascii="Times New Roman" w:hAnsi="Times New Roman" w:eastAsia="仿宋_GB2312" w:cs="Times New Roman"/>
          <w:kern w:val="0"/>
          <w:sz w:val="32"/>
          <w:szCs w:val="32"/>
        </w:rPr>
        <w:t>。</w:t>
      </w:r>
    </w:p>
    <w:p>
      <w:pPr>
        <w:numPr>
          <w:ilvl w:val="0"/>
          <w:numId w:val="1"/>
        </w:numPr>
        <w:overflowPunct w:val="0"/>
        <w:autoSpaceDE w:val="0"/>
        <w:autoSpaceDN w:val="0"/>
        <w:adjustRightInd w:val="0"/>
        <w:spacing w:line="59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基本情况</w:t>
      </w:r>
    </w:p>
    <w:p>
      <w:pPr>
        <w:overflowPunct w:val="0"/>
        <w:autoSpaceDE w:val="0"/>
        <w:autoSpaceDN w:val="0"/>
        <w:adjustRightIn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通过听取汇报、领导访谈、资料复核、暗访检查、实地检查等方式对东城街道示范创建工作开展市级初评。</w:t>
      </w:r>
      <w:r>
        <w:rPr>
          <w:rFonts w:ascii="Times New Roman" w:hAnsi="Times New Roman" w:eastAsia="仿宋_GB2312" w:cs="Times New Roman"/>
          <w:b/>
          <w:bCs/>
          <w:kern w:val="0"/>
          <w:sz w:val="32"/>
          <w:szCs w:val="32"/>
        </w:rPr>
        <w:t>初评得分181.84分，无否决项，达到广东省食品安全示范县创建要求。</w:t>
      </w:r>
    </w:p>
    <w:p>
      <w:pPr>
        <w:numPr>
          <w:ilvl w:val="0"/>
          <w:numId w:val="1"/>
        </w:numPr>
        <w:overflowPunct w:val="0"/>
        <w:autoSpaceDE w:val="0"/>
        <w:autoSpaceDN w:val="0"/>
        <w:adjustRightInd w:val="0"/>
        <w:spacing w:line="590" w:lineRule="exact"/>
        <w:ind w:firstLine="640" w:firstLineChars="200"/>
        <w:rPr>
          <w:rFonts w:ascii="Times New Roman" w:hAnsi="Times New Roman" w:eastAsia="黑体" w:cs="Times New Roman"/>
          <w:kern w:val="0"/>
          <w:sz w:val="32"/>
          <w:szCs w:val="32"/>
        </w:rPr>
      </w:pPr>
      <w:bookmarkStart w:id="0" w:name="_Toc1179"/>
      <w:r>
        <w:rPr>
          <w:rFonts w:ascii="Times New Roman" w:hAnsi="Times New Roman" w:eastAsia="黑体" w:cs="Times New Roman"/>
          <w:kern w:val="0"/>
          <w:sz w:val="32"/>
          <w:szCs w:val="32"/>
        </w:rPr>
        <w:t>创建工作开展情况及成效</w:t>
      </w:r>
      <w:bookmarkEnd w:id="0"/>
    </w:p>
    <w:p>
      <w:pPr>
        <w:overflowPunct w:val="0"/>
        <w:autoSpaceDE w:val="0"/>
        <w:autoSpaceDN w:val="0"/>
        <w:adjustRightInd w:val="0"/>
        <w:spacing w:line="590" w:lineRule="exact"/>
        <w:ind w:firstLine="640" w:firstLineChars="200"/>
        <w:rPr>
          <w:rFonts w:ascii="Times New Roman" w:hAnsi="Times New Roman" w:eastAsia="仿宋_GB2312" w:cs="Times New Roman"/>
          <w:kern w:val="0"/>
          <w:sz w:val="32"/>
          <w:szCs w:val="32"/>
        </w:rPr>
      </w:pPr>
      <w:bookmarkStart w:id="1" w:name="_Hlk78881258"/>
      <w:r>
        <w:rPr>
          <w:rFonts w:ascii="Times New Roman" w:hAnsi="Times New Roman" w:eastAsia="仿宋_GB2312" w:cs="Times New Roman"/>
          <w:kern w:val="0"/>
          <w:sz w:val="32"/>
          <w:szCs w:val="32"/>
        </w:rPr>
        <w:t>东城街道</w:t>
      </w:r>
      <w:bookmarkEnd w:id="1"/>
      <w:r>
        <w:rPr>
          <w:rFonts w:ascii="Times New Roman" w:hAnsi="Times New Roman" w:eastAsia="仿宋_GB2312" w:cs="Times New Roman"/>
          <w:kern w:val="0"/>
          <w:sz w:val="32"/>
          <w:szCs w:val="32"/>
        </w:rPr>
        <w:t>党工委和办事处</w:t>
      </w:r>
      <w:r>
        <w:rPr>
          <w:rFonts w:hint="eastAsia" w:ascii="Times New Roman" w:hAnsi="Times New Roman" w:eastAsia="仿宋_GB2312" w:cs="Times New Roman"/>
          <w:kern w:val="0"/>
          <w:sz w:val="32"/>
          <w:szCs w:val="32"/>
        </w:rPr>
        <w:t>严格落实</w:t>
      </w:r>
      <w:r>
        <w:rPr>
          <w:rFonts w:ascii="Times New Roman" w:hAnsi="Times New Roman" w:eastAsia="仿宋_GB2312" w:cs="Times New Roman"/>
          <w:kern w:val="0"/>
          <w:sz w:val="32"/>
          <w:szCs w:val="32"/>
        </w:rPr>
        <w:t>省委省政府</w:t>
      </w:r>
      <w:r>
        <w:rPr>
          <w:rFonts w:hint="eastAsia" w:ascii="Times New Roman" w:hAnsi="Times New Roman" w:eastAsia="仿宋_GB2312" w:cs="Times New Roman"/>
          <w:kern w:val="0"/>
          <w:sz w:val="32"/>
          <w:szCs w:val="32"/>
        </w:rPr>
        <w:t>有关食品安全的</w:t>
      </w:r>
      <w:r>
        <w:rPr>
          <w:rFonts w:ascii="Times New Roman" w:hAnsi="Times New Roman" w:eastAsia="仿宋_GB2312" w:cs="Times New Roman"/>
          <w:kern w:val="0"/>
          <w:sz w:val="32"/>
          <w:szCs w:val="32"/>
        </w:rPr>
        <w:t>决策部署，以创建广东省食品安全示范区为主线，坚持以人民为中心的发展理念，由东城街道食药安办统筹协调，各有关部门齐抓共管，督促企业落实主体责任，巩固提高食品产业整体发展，提升食品安全保障水平。自创建食品安全示范区以来，</w:t>
      </w:r>
      <w:bookmarkStart w:id="2" w:name="_Hlk78882075"/>
      <w:r>
        <w:rPr>
          <w:rFonts w:ascii="Times New Roman" w:hAnsi="Times New Roman" w:eastAsia="仿宋_GB2312" w:cs="Times New Roman"/>
          <w:kern w:val="0"/>
          <w:sz w:val="32"/>
          <w:szCs w:val="32"/>
        </w:rPr>
        <w:t>东城街道</w:t>
      </w:r>
      <w:bookmarkEnd w:id="2"/>
      <w:r>
        <w:rPr>
          <w:rFonts w:ascii="Times New Roman" w:hAnsi="Times New Roman" w:eastAsia="仿宋_GB2312" w:cs="Times New Roman"/>
          <w:kern w:val="0"/>
          <w:sz w:val="32"/>
          <w:szCs w:val="32"/>
        </w:rPr>
        <w:t>未发生区域性、行业性食品安全问题，特别是2020年</w:t>
      </w:r>
      <w:r>
        <w:rPr>
          <w:rFonts w:hint="eastAsia" w:ascii="Times New Roman" w:hAnsi="Times New Roman" w:eastAsia="仿宋_GB2312" w:cs="Times New Roman"/>
          <w:kern w:val="0"/>
          <w:sz w:val="32"/>
          <w:szCs w:val="32"/>
        </w:rPr>
        <w:t>高分通过示范创建省级中期评估之</w:t>
      </w:r>
      <w:r>
        <w:rPr>
          <w:rFonts w:ascii="Times New Roman" w:hAnsi="Times New Roman" w:eastAsia="仿宋_GB2312" w:cs="Times New Roman"/>
          <w:kern w:val="0"/>
          <w:sz w:val="32"/>
          <w:szCs w:val="32"/>
        </w:rPr>
        <w:t>后，东城街道针对发现的问题，建立整改台账，逐条逐项落实到人、落实到位，食品安全示范创建工作取得较好成效。主要工作成效体现在：</w:t>
      </w:r>
      <w:bookmarkStart w:id="3" w:name="_Toc30099"/>
    </w:p>
    <w:p>
      <w:pPr>
        <w:overflowPunct w:val="0"/>
        <w:autoSpaceDE w:val="0"/>
        <w:autoSpaceDN w:val="0"/>
        <w:adjustRightInd w:val="0"/>
        <w:spacing w:line="590" w:lineRule="exact"/>
        <w:ind w:firstLine="640" w:firstLineChars="200"/>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（一）</w:t>
      </w:r>
      <w:r>
        <w:rPr>
          <w:rFonts w:ascii="Times New Roman" w:hAnsi="Times New Roman" w:eastAsia="楷体_GB2312" w:cs="Times New Roman"/>
          <w:sz w:val="32"/>
        </w:rPr>
        <w:t>创建站位高，推进工作</w:t>
      </w:r>
      <w:bookmarkEnd w:id="3"/>
      <w:r>
        <w:rPr>
          <w:rFonts w:ascii="Times New Roman" w:hAnsi="Times New Roman" w:eastAsia="楷体_GB2312" w:cs="Times New Roman"/>
          <w:sz w:val="32"/>
        </w:rPr>
        <w:t>力度大</w:t>
      </w:r>
    </w:p>
    <w:p>
      <w:pPr>
        <w:overflowPunct w:val="0"/>
        <w:autoSpaceDE w:val="0"/>
        <w:autoSpaceDN w:val="0"/>
        <w:adjustRightInd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东城街道自被确定为省食品安全示范县创建试点以来，制定《东城街道创建广东省食品安全示范区工作方案》，成立了由街道党工委书记挂帅的创建工作领导小组，明确示范创建的指导思想、基本原则、基本标准、主要工作、实施步骤等。提出党政主导、两级联创的工作思路，通过制定创建广东省食品安全示范区任务分解表及十大重点工程路线表，明确牵头单位和落实部门，提出各项工作的时间节点和完成时限，层层抓落实，年年有考核，有力地推动创建工作持久深入。落实地方党政领导干部食品安全责任制规定，制定了《东城街道党政领导干部食品安全责任清单》，强化党工委的领导责任及办事处的行政责任，不断构建“党工委统一领导、办事处部署推动、部门依法监督、行业诚信自律、社会各方协同、公众积极参与”的食品安全治理格局，创建成效显著。</w:t>
      </w:r>
      <w:bookmarkStart w:id="4" w:name="_Toc24033"/>
    </w:p>
    <w:p>
      <w:pPr>
        <w:overflowPunct w:val="0"/>
        <w:autoSpaceDE w:val="0"/>
        <w:autoSpaceDN w:val="0"/>
        <w:adjustRightInd w:val="0"/>
        <w:spacing w:line="590" w:lineRule="exact"/>
        <w:ind w:firstLine="640" w:firstLineChars="200"/>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（二）</w:t>
      </w:r>
      <w:r>
        <w:rPr>
          <w:rFonts w:ascii="Times New Roman" w:hAnsi="Times New Roman" w:eastAsia="楷体_GB2312" w:cs="Times New Roman"/>
          <w:sz w:val="32"/>
        </w:rPr>
        <w:t>基础打得牢，基层监管能力不断提升</w:t>
      </w:r>
    </w:p>
    <w:p>
      <w:pPr>
        <w:overflowPunct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食品监管力量沿伸至基层。全街道23个社区共配置132名食品药品协管员，成立社区食品药品安全协管办公室，完善社区监管工作设备设施条件，充实基层食品药品协管力量。二是岗位设置覆盖食品安全相关领域。制定《东城街道有关部门社区食品安全监管事权清单》，按照“管行业必须管安全”、属事属地管理等要求，履行辖区食品安全工作管理责任，实现全链条、全流程监管。三是实施“智网工程”，提高工作质量及效率。采用分类分级管理的模式，网格员负责网格巡查、信息上报等工作，“智网工程”指挥调度平台按照事件轻重缓急、全面落实属地属事责任，及时分派或协助处置职责范围内的事务，让各层级的管理人员及执行人员提高工作效能，及时进行监督检查。</w:t>
      </w:r>
    </w:p>
    <w:p>
      <w:pPr>
        <w:overflowPunct w:val="0"/>
        <w:spacing w:line="59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kern w:val="0"/>
          <w:sz w:val="32"/>
          <w:szCs w:val="32"/>
        </w:rPr>
        <w:t>（三）</w:t>
      </w:r>
      <w:r>
        <w:rPr>
          <w:rFonts w:ascii="Times New Roman" w:hAnsi="Times New Roman" w:eastAsia="楷体_GB2312" w:cs="Times New Roman"/>
          <w:sz w:val="32"/>
        </w:rPr>
        <w:t>综合治理实，食品安全整体水平</w:t>
      </w:r>
      <w:bookmarkEnd w:id="4"/>
      <w:r>
        <w:rPr>
          <w:rFonts w:ascii="Times New Roman" w:hAnsi="Times New Roman" w:eastAsia="楷体_GB2312" w:cs="Times New Roman"/>
          <w:sz w:val="32"/>
        </w:rPr>
        <w:t>好</w:t>
      </w:r>
    </w:p>
    <w:p>
      <w:pPr>
        <w:overflowPunct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推进食品小作坊集中加工中心建设。按照“政府扶持、部门指导、市场运作”的总体思路，将东城食品小作坊集中加工中心项目纳入街道重大项目，已建成食品小作坊集中加工中心一个，入驻部分豆制品加工企业。认真贯彻实施《广东省食品生产加工小作坊和食品摊贩管理条例》，为其他街道（园区）起到示范引领的作用。二是加大食品安全治理力度。制定《东城街道食品生产经营风险分级分类管理制度》，对食品生产经营企业开展风险等级划分，科学制定检查计划，确定检查项目、频次，建立风险分类等级台账，严格按照风险分类等级制定年度检查计划。三是建立食药安办、综治办、教育、市场监管、公安机关、城管、卫健等部门共同参与的学校校园及周边食品安全综合治理机制，每年联合开展学校及校园周边食品安全专项整治行动。在全街道学校周边200米范围内划定为“食品安全严管区”，取缔无证和流动摊贩，有效保障学校师生的身体健康。四是食品安全应急处置体系健全。制定《东城街道食品安全事故应急预案》《东城街道食品安全事故应急预案操作手册》，定期开展应急培训和演练，并对演练过程和效果进行评估。</w:t>
      </w:r>
      <w:bookmarkStart w:id="5" w:name="_Toc13955"/>
    </w:p>
    <w:p>
      <w:pPr>
        <w:overflowPunct w:val="0"/>
        <w:spacing w:line="59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（四）监管齐参与，社会共治模式多样</w:t>
      </w:r>
      <w:bookmarkEnd w:id="5"/>
    </w:p>
    <w:p>
      <w:pPr>
        <w:pStyle w:val="2"/>
        <w:overflowPunct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一是投诉举报渠道畅通。食品安全投诉举报电话、网络投诉、信件、接访等渠道向社会公示，建立专门机构与人员负责投诉举报工作，要求高度重视对食品安全的相关投诉及举报，做到优先处置。建立投诉举报清单，对每起接报均有回复。二是发挥媒体社会监督及大众教育的作用。从2017年至今，通过新浪微博、南方都市报、东莞时报、东莞时间网等大众媒体发布食品安全相关新闻、食品安全相关知识、食品安全法律法规宣传及食品标准宣贯等700余条。三是政府主导推动食品安全宣传教育。东城街道在23个社区设置食品药品安全宣传栏达650余块，广泛宣传食品安全法律、法规、知识和倡导健康的饮食方式。 </w:t>
      </w:r>
    </w:p>
    <w:p>
      <w:pPr>
        <w:overflowPunct w:val="0"/>
        <w:adjustRightInd w:val="0"/>
        <w:snapToGrid w:val="0"/>
        <w:spacing w:line="590" w:lineRule="exact"/>
        <w:ind w:left="640"/>
        <w:rPr>
          <w:rFonts w:ascii="Times New Roman" w:hAnsi="Times New Roman" w:eastAsia="黑体" w:cs="Times New Roman"/>
          <w:bCs/>
          <w:sz w:val="32"/>
          <w:szCs w:val="32"/>
        </w:rPr>
      </w:pPr>
      <w:r>
        <w:rPr>
          <w:rFonts w:ascii="Times New Roman" w:hAnsi="Times New Roman" w:eastAsia="黑体" w:cs="Times New Roman"/>
          <w:bCs/>
          <w:sz w:val="32"/>
          <w:szCs w:val="32"/>
        </w:rPr>
        <w:t>三、创建指标达标情况</w:t>
      </w:r>
    </w:p>
    <w:p>
      <w:pPr>
        <w:overflowPunct w:val="0"/>
        <w:adjustRightInd w:val="0"/>
        <w:snapToGrid w:val="0"/>
        <w:spacing w:line="590" w:lineRule="exact"/>
        <w:ind w:firstLine="640" w:firstLineChars="200"/>
        <w:rPr>
          <w:rFonts w:ascii="Times New Roman" w:hAnsi="Times New Roman" w:eastAsia="黑体" w:cs="Times New Roman"/>
          <w:bCs/>
          <w:sz w:val="32"/>
          <w:szCs w:val="32"/>
        </w:rPr>
      </w:pPr>
      <w:r>
        <w:rPr>
          <w:rFonts w:ascii="Times New Roman" w:hAnsi="Times New Roman" w:eastAsia="仿宋_GB2312" w:cs="Times New Roman"/>
          <w:sz w:val="32"/>
          <w:szCs w:val="32"/>
        </w:rPr>
        <w:t>《评价细则》包括7大类（一级指标）31小项（二级指标）共</w:t>
      </w:r>
      <w:r>
        <w:rPr>
          <w:rFonts w:hint="eastAsia" w:ascii="Times New Roman" w:hAnsi="Times New Roman" w:eastAsia="仿宋_GB2312" w:cs="Times New Roman"/>
          <w:sz w:val="32"/>
          <w:szCs w:val="32"/>
        </w:rPr>
        <w:t>70</w:t>
      </w:r>
      <w:r>
        <w:rPr>
          <w:rFonts w:ascii="Times New Roman" w:hAnsi="Times New Roman" w:eastAsia="仿宋_GB2312" w:cs="Times New Roman"/>
          <w:sz w:val="32"/>
          <w:szCs w:val="32"/>
        </w:rPr>
        <w:t>个评价要点（三级指标），总分200分。其中，否决项5个；扣分项3个；基础工作35个共70分；能力建设11个共40分；生产经营状况1个共30分；食品安全状况4个共20分；示范引领10个选项，选取7项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共40分；5大类总计200分；经市级初评，东城街道无否决项和扣分项，得分为181.84分，符合申请创建评价验收的要求。</w:t>
      </w:r>
    </w:p>
    <w:p>
      <w:pPr>
        <w:overflowPunct w:val="0"/>
        <w:adjustRightInd w:val="0"/>
        <w:snapToGrid w:val="0"/>
        <w:spacing w:line="59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sz w:val="32"/>
          <w:szCs w:val="32"/>
        </w:rPr>
        <w:t>四、</w:t>
      </w:r>
      <w:r>
        <w:rPr>
          <w:rFonts w:ascii="Times New Roman" w:hAnsi="Times New Roman" w:eastAsia="黑体" w:cs="Times New Roman"/>
          <w:bCs/>
          <w:sz w:val="32"/>
          <w:szCs w:val="32"/>
        </w:rPr>
        <w:t>示范引领达标情况</w:t>
      </w:r>
    </w:p>
    <w:p>
      <w:pPr>
        <w:pStyle w:val="2"/>
        <w:overflowPunct w:val="0"/>
        <w:adjustRightInd w:val="0"/>
        <w:snapToGrid w:val="0"/>
        <w:spacing w:line="59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sz w:val="32"/>
          <w:szCs w:val="32"/>
        </w:rPr>
        <w:t>示范引领得分37.5分</w:t>
      </w:r>
      <w:r>
        <w:rPr>
          <w:rFonts w:ascii="Times New Roman" w:hAnsi="Times New Roman" w:eastAsia="仿宋_GB2312" w:cs="Times New Roman"/>
          <w:bCs/>
          <w:kern w:val="0"/>
          <w:sz w:val="32"/>
          <w:szCs w:val="32"/>
        </w:rPr>
        <w:t>，有2项</w:t>
      </w:r>
      <w:r>
        <w:rPr>
          <w:rFonts w:hint="eastAsia" w:ascii="Times New Roman" w:hAnsi="Times New Roman" w:eastAsia="仿宋_GB2312" w:cs="Times New Roman"/>
          <w:bCs/>
          <w:kern w:val="0"/>
          <w:sz w:val="32"/>
          <w:szCs w:val="32"/>
        </w:rPr>
        <w:t>指标</w:t>
      </w:r>
      <w:r>
        <w:rPr>
          <w:rFonts w:ascii="Times New Roman" w:hAnsi="Times New Roman" w:eastAsia="仿宋_GB2312" w:cs="Times New Roman"/>
          <w:bCs/>
          <w:kern w:val="0"/>
          <w:sz w:val="32"/>
          <w:szCs w:val="32"/>
        </w:rPr>
        <w:t>未完成符合要求</w:t>
      </w:r>
      <w:r>
        <w:rPr>
          <w:rFonts w:hint="eastAsia" w:ascii="Times New Roman" w:hAnsi="Times New Roman" w:eastAsia="仿宋_GB2312" w:cs="Times New Roman"/>
          <w:bCs/>
          <w:kern w:val="0"/>
          <w:sz w:val="32"/>
          <w:szCs w:val="32"/>
        </w:rPr>
        <w:t>。六</w:t>
      </w:r>
      <w:r>
        <w:rPr>
          <w:rFonts w:ascii="Times New Roman" w:hAnsi="Times New Roman" w:eastAsia="仿宋_GB2312" w:cs="Times New Roman"/>
          <w:bCs/>
          <w:kern w:val="0"/>
          <w:sz w:val="32"/>
          <w:szCs w:val="32"/>
        </w:rPr>
        <w:t>项评价指标分别为：</w:t>
      </w:r>
      <w:r>
        <w:rPr>
          <w:rFonts w:ascii="Times New Roman" w:hAnsi="Times New Roman" w:eastAsia="仿宋_GB2312" w:cs="Times New Roman"/>
          <w:b/>
          <w:bCs/>
          <w:kern w:val="0"/>
          <w:sz w:val="32"/>
          <w:szCs w:val="32"/>
        </w:rPr>
        <w:t>一是</w:t>
      </w:r>
      <w:r>
        <w:rPr>
          <w:rFonts w:ascii="Times New Roman" w:hAnsi="Times New Roman" w:eastAsia="仿宋_GB2312" w:cs="Times New Roman"/>
          <w:bCs/>
          <w:kern w:val="0"/>
          <w:sz w:val="32"/>
          <w:szCs w:val="32"/>
        </w:rPr>
        <w:t>健全食品安全信用监管制度和工作机制，并将食品生产经营者信用信息及时归集到企业名下，依法依规向社会公示食品生产经营企业信用信息。</w:t>
      </w:r>
      <w:r>
        <w:rPr>
          <w:rFonts w:ascii="Times New Roman" w:hAnsi="Times New Roman" w:eastAsia="仿宋_GB2312" w:cs="Times New Roman"/>
          <w:b/>
          <w:bCs/>
          <w:kern w:val="0"/>
          <w:sz w:val="32"/>
          <w:szCs w:val="32"/>
        </w:rPr>
        <w:t>二是</w:t>
      </w:r>
      <w:r>
        <w:rPr>
          <w:rFonts w:ascii="Times New Roman" w:hAnsi="Times New Roman" w:eastAsia="仿宋_GB2312" w:cs="Times New Roman"/>
          <w:bCs/>
          <w:kern w:val="0"/>
          <w:sz w:val="32"/>
          <w:szCs w:val="32"/>
        </w:rPr>
        <w:t>推进信息化技术在食品安全监管领域的应用，整合食品安全监管系统，建成了“互联网+明厨亮灶”、冷库通等智慧监管平台。</w:t>
      </w:r>
      <w:r>
        <w:rPr>
          <w:rFonts w:ascii="Times New Roman" w:hAnsi="Times New Roman" w:eastAsia="仿宋_GB2312" w:cs="Times New Roman"/>
          <w:b/>
          <w:bCs/>
          <w:kern w:val="0"/>
          <w:sz w:val="32"/>
          <w:szCs w:val="32"/>
        </w:rPr>
        <w:t>三是</w:t>
      </w:r>
      <w:r>
        <w:rPr>
          <w:rFonts w:ascii="Times New Roman" w:hAnsi="Times New Roman" w:eastAsia="仿宋_GB2312" w:cs="Times New Roman"/>
          <w:bCs/>
          <w:kern w:val="0"/>
          <w:sz w:val="32"/>
          <w:szCs w:val="32"/>
        </w:rPr>
        <w:t>创新行刑衔接工作机制，东莞市食品药品监督管理局、东莞市公安局、东莞市人民法院、东莞市人民检察院联合印发《东莞市食品药品行政执法与刑事司法衔接工作实施办法》，并严格组织实施。</w:t>
      </w:r>
      <w:r>
        <w:rPr>
          <w:rFonts w:ascii="Times New Roman" w:hAnsi="Times New Roman" w:eastAsia="仿宋_GB2312" w:cs="Times New Roman"/>
          <w:b/>
          <w:bCs/>
          <w:kern w:val="0"/>
          <w:sz w:val="32"/>
          <w:szCs w:val="32"/>
        </w:rPr>
        <w:t>四是</w:t>
      </w:r>
      <w:r>
        <w:rPr>
          <w:rFonts w:ascii="Times New Roman" w:hAnsi="Times New Roman" w:eastAsia="仿宋_GB2312" w:cs="Times New Roman"/>
          <w:bCs/>
          <w:kern w:val="0"/>
          <w:sz w:val="32"/>
          <w:szCs w:val="32"/>
        </w:rPr>
        <w:t>加强食品安全监管队伍能力建设，通过</w:t>
      </w:r>
      <w:r>
        <w:rPr>
          <w:rFonts w:ascii="Times New Roman" w:hAnsi="Times New Roman" w:eastAsia="仿宋_GB2312" w:cs="Times New Roman"/>
          <w:spacing w:val="8"/>
          <w:sz w:val="32"/>
          <w:szCs w:val="32"/>
        </w:rPr>
        <w:t>完善制度保障，健全基层责任网络；强化政策支持，壮大基层监管力量；</w:t>
      </w:r>
      <w:r>
        <w:rPr>
          <w:rFonts w:ascii="Times New Roman" w:hAnsi="Times New Roman" w:eastAsia="仿宋_GB2312" w:cs="Times New Roman"/>
          <w:kern w:val="0"/>
          <w:sz w:val="32"/>
          <w:szCs w:val="32"/>
        </w:rPr>
        <w:t>落实财政投入，提升基层监管能力</w:t>
      </w:r>
      <w:r>
        <w:rPr>
          <w:rFonts w:ascii="Times New Roman" w:hAnsi="Times New Roman" w:eastAsia="仿宋_GB2312" w:cs="Times New Roman"/>
          <w:spacing w:val="8"/>
          <w:sz w:val="32"/>
          <w:szCs w:val="32"/>
        </w:rPr>
        <w:t>等办法</w:t>
      </w:r>
      <w:r>
        <w:rPr>
          <w:rFonts w:ascii="Times New Roman" w:hAnsi="Times New Roman" w:eastAsia="仿宋_GB2312" w:cs="Times New Roman"/>
          <w:color w:val="000000"/>
          <w:kern w:val="0"/>
          <w:sz w:val="32"/>
          <w:szCs w:val="32"/>
        </w:rPr>
        <w:t>迅速提升监管队伍的业务能力。</w:t>
      </w:r>
      <w:r>
        <w:rPr>
          <w:rFonts w:ascii="Times New Roman" w:hAnsi="Times New Roman" w:eastAsia="仿宋_GB2312" w:cs="Times New Roman"/>
          <w:b/>
          <w:color w:val="000000"/>
          <w:kern w:val="0"/>
          <w:sz w:val="32"/>
          <w:szCs w:val="32"/>
        </w:rPr>
        <w:t>五是</w:t>
      </w:r>
      <w:r>
        <w:rPr>
          <w:rFonts w:ascii="Times New Roman" w:hAnsi="Times New Roman" w:eastAsia="仿宋_GB2312" w:cs="Times New Roman"/>
          <w:color w:val="000000"/>
          <w:kern w:val="0"/>
          <w:sz w:val="32"/>
          <w:szCs w:val="32"/>
        </w:rPr>
        <w:t>加强“三小场所”整治。</w:t>
      </w:r>
      <w:r>
        <w:rPr>
          <w:rFonts w:ascii="Times New Roman" w:hAnsi="Times New Roman" w:eastAsia="仿宋_GB2312" w:cs="Times New Roman"/>
          <w:color w:val="000000"/>
          <w:sz w:val="32"/>
          <w:szCs w:val="32"/>
        </w:rPr>
        <w:t>坚持高站位推动，明确“三小”监管事权。</w:t>
      </w:r>
      <w:r>
        <w:rPr>
          <w:rFonts w:ascii="Times New Roman" w:hAnsi="Times New Roman" w:eastAsia="仿宋_GB2312" w:cs="Times New Roman"/>
          <w:color w:val="000000"/>
          <w:kern w:val="0"/>
          <w:sz w:val="32"/>
          <w:szCs w:val="32"/>
        </w:rPr>
        <w:t>引导集约化发展，提升经营指导效能。</w:t>
      </w:r>
      <w:r>
        <w:rPr>
          <w:rFonts w:ascii="Times New Roman" w:hAnsi="Times New Roman" w:eastAsia="仿宋_GB2312" w:cs="Times New Roman"/>
          <w:spacing w:val="6"/>
          <w:sz w:val="31"/>
          <w:szCs w:val="31"/>
        </w:rPr>
        <w:t>强化监管惠民生，完善经营主体资质。</w:t>
      </w:r>
      <w:r>
        <w:rPr>
          <w:rFonts w:ascii="Times New Roman" w:hAnsi="Times New Roman" w:eastAsia="仿宋_GB2312" w:cs="Times New Roman"/>
          <w:color w:val="000000"/>
          <w:kern w:val="0"/>
          <w:sz w:val="32"/>
          <w:szCs w:val="32"/>
        </w:rPr>
        <w:t>增强从业者素质，建立长效管理机制</w:t>
      </w:r>
      <w:r>
        <w:rPr>
          <w:rFonts w:ascii="Times New Roman" w:hAnsi="Times New Roman" w:eastAsia="仿宋_GB2312" w:cs="Times New Roman"/>
          <w:color w:val="DB1010"/>
          <w:kern w:val="0"/>
          <w:sz w:val="32"/>
          <w:szCs w:val="32"/>
        </w:rPr>
        <w:t>。</w:t>
      </w:r>
      <w:r>
        <w:rPr>
          <w:rFonts w:ascii="Times New Roman" w:hAnsi="Times New Roman" w:eastAsia="仿宋_GB2312" w:cs="Times New Roman"/>
          <w:kern w:val="0"/>
          <w:sz w:val="32"/>
          <w:szCs w:val="32"/>
        </w:rPr>
        <w:t>严抓整顿促治理，加大违法打击力度。通过一系列措施，东城街道三小场所整治成效明显。</w:t>
      </w:r>
      <w:r>
        <w:rPr>
          <w:rFonts w:ascii="Times New Roman" w:hAnsi="Times New Roman" w:eastAsia="仿宋_GB2312" w:cs="Times New Roman"/>
          <w:b/>
          <w:kern w:val="0"/>
          <w:sz w:val="32"/>
          <w:szCs w:val="32"/>
        </w:rPr>
        <w:t>六是</w:t>
      </w:r>
      <w:r>
        <w:rPr>
          <w:rFonts w:ascii="Times New Roman" w:hAnsi="Times New Roman" w:eastAsia="仿宋_GB2312" w:cs="Times New Roman"/>
          <w:kern w:val="0"/>
          <w:sz w:val="32"/>
          <w:szCs w:val="32"/>
        </w:rPr>
        <w:t>做好重大活动保障。</w:t>
      </w:r>
      <w:r>
        <w:rPr>
          <w:rFonts w:ascii="Times New Roman" w:hAnsi="Times New Roman" w:eastAsia="仿宋_GB2312" w:cs="Times New Roman"/>
          <w:sz w:val="32"/>
          <w:szCs w:val="32"/>
        </w:rPr>
        <w:t>近年来，东城市场监管分局顺利完成了各年度高考、高中学业水平考试及中职技能考试、高考英语听说考试和2021年华为开发者大会等10余次重大活动食品安全保障任务。累计保障就餐人员超5万人（次），未发生食品污染和食物中毒事件。</w:t>
      </w:r>
      <w:r>
        <w:rPr>
          <w:rFonts w:ascii="Times New Roman" w:hAnsi="Times New Roman" w:eastAsia="仿宋_GB2312" w:cs="Times New Roman"/>
          <w:bCs/>
          <w:color w:val="FF0000"/>
          <w:kern w:val="0"/>
          <w:sz w:val="32"/>
          <w:szCs w:val="32"/>
        </w:rPr>
        <w:t xml:space="preserve"> </w:t>
      </w:r>
    </w:p>
    <w:p>
      <w:pPr>
        <w:pStyle w:val="15"/>
        <w:overflowPunct w:val="0"/>
        <w:adjustRightInd w:val="0"/>
        <w:snapToGrid w:val="0"/>
        <w:spacing w:line="590" w:lineRule="exact"/>
        <w:ind w:left="640" w:firstLine="0" w:firstLineChars="0"/>
        <w:rPr>
          <w:rFonts w:ascii="Times New Roman" w:hAnsi="Times New Roman" w:eastAsia="黑体" w:cs="Times New Roman"/>
          <w:bCs/>
          <w:sz w:val="32"/>
          <w:szCs w:val="32"/>
        </w:rPr>
      </w:pPr>
      <w:r>
        <w:rPr>
          <w:rFonts w:hint="eastAsia" w:ascii="Times New Roman" w:hAnsi="Times New Roman" w:eastAsia="黑体" w:cs="Times New Roman"/>
          <w:bCs/>
          <w:sz w:val="32"/>
          <w:szCs w:val="32"/>
        </w:rPr>
        <w:t>五</w:t>
      </w:r>
      <w:r>
        <w:rPr>
          <w:rFonts w:ascii="Times New Roman" w:hAnsi="Times New Roman" w:eastAsia="黑体" w:cs="Times New Roman"/>
          <w:bCs/>
          <w:sz w:val="32"/>
          <w:szCs w:val="32"/>
        </w:rPr>
        <w:t>、否决项达标情况</w:t>
      </w:r>
    </w:p>
    <w:p>
      <w:pPr>
        <w:overflowPunct w:val="0"/>
        <w:adjustRightInd w:val="0"/>
        <w:snapToGrid w:val="0"/>
        <w:spacing w:line="59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东城街道</w:t>
      </w:r>
      <w:r>
        <w:rPr>
          <w:rFonts w:hint="eastAsia" w:ascii="Times New Roman" w:hAnsi="Times New Roman" w:eastAsia="仿宋_GB2312" w:cs="Times New Roman"/>
          <w:bCs/>
          <w:kern w:val="0"/>
          <w:sz w:val="32"/>
          <w:szCs w:val="32"/>
        </w:rPr>
        <w:t>未发生</w:t>
      </w:r>
      <w:r>
        <w:rPr>
          <w:rFonts w:ascii="Times New Roman" w:hAnsi="Times New Roman" w:eastAsia="仿宋_GB2312" w:cs="Times New Roman"/>
          <w:bCs/>
          <w:kern w:val="0"/>
          <w:sz w:val="32"/>
          <w:szCs w:val="32"/>
        </w:rPr>
        <w:t>否决</w:t>
      </w:r>
      <w:r>
        <w:rPr>
          <w:rFonts w:hint="eastAsia" w:ascii="Times New Roman" w:hAnsi="Times New Roman" w:eastAsia="仿宋_GB2312" w:cs="Times New Roman"/>
          <w:bCs/>
          <w:kern w:val="0"/>
          <w:sz w:val="32"/>
          <w:szCs w:val="32"/>
        </w:rPr>
        <w:t>项所述</w:t>
      </w:r>
      <w:r>
        <w:rPr>
          <w:rFonts w:ascii="Times New Roman" w:hAnsi="Times New Roman" w:eastAsia="仿宋_GB2312" w:cs="Times New Roman"/>
          <w:bCs/>
          <w:kern w:val="0"/>
          <w:sz w:val="32"/>
          <w:szCs w:val="32"/>
        </w:rPr>
        <w:t>情况。</w:t>
      </w:r>
    </w:p>
    <w:p>
      <w:pPr>
        <w:pStyle w:val="15"/>
        <w:overflowPunct w:val="0"/>
        <w:autoSpaceDE w:val="0"/>
        <w:autoSpaceDN w:val="0"/>
        <w:adjustRightInd w:val="0"/>
        <w:snapToGrid w:val="0"/>
        <w:spacing w:line="590" w:lineRule="exact"/>
        <w:ind w:left="640" w:firstLine="0" w:firstLineChars="0"/>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六</w:t>
      </w:r>
      <w:r>
        <w:rPr>
          <w:rFonts w:ascii="Times New Roman" w:hAnsi="Times New Roman" w:eastAsia="黑体" w:cs="Times New Roman"/>
          <w:kern w:val="0"/>
          <w:sz w:val="32"/>
          <w:szCs w:val="32"/>
        </w:rPr>
        <w:t>、存在问题与短板</w:t>
      </w:r>
    </w:p>
    <w:p>
      <w:pPr>
        <w:numPr>
          <w:ilvl w:val="0"/>
          <w:numId w:val="2"/>
        </w:numPr>
        <w:overflowPunct w:val="0"/>
        <w:spacing w:line="59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全程监管措施仍待提升</w:t>
      </w:r>
    </w:p>
    <w:p>
      <w:pPr>
        <w:overflowPunct w:val="0"/>
        <w:spacing w:line="590" w:lineRule="exact"/>
        <w:ind w:firstLine="640" w:firstLineChars="200"/>
        <w:rPr>
          <w:rFonts w:ascii="Times New Roman" w:hAnsi="Times New Roman" w:eastAsia="楷体_GB2312" w:cs="Times New Roman"/>
          <w:bCs/>
          <w:sz w:val="32"/>
          <w:szCs w:val="32"/>
        </w:rPr>
      </w:pPr>
      <w:r>
        <w:rPr>
          <w:rFonts w:ascii="Times New Roman" w:hAnsi="Times New Roman" w:eastAsia="仿宋_GB2312" w:cs="Times New Roman"/>
          <w:sz w:val="32"/>
          <w:szCs w:val="32"/>
        </w:rPr>
        <w:t>一是</w:t>
      </w:r>
      <w:r>
        <w:rPr>
          <w:rFonts w:ascii="Times New Roman" w:hAnsi="Times New Roman" w:eastAsia="仿宋_GB2312" w:cs="Times New Roman"/>
          <w:bCs/>
          <w:sz w:val="32"/>
          <w:szCs w:val="32"/>
        </w:rPr>
        <w:t>部分食用农产品抽样量没有满足规定要求。制定的年度食用农产品质量安全监测监督工作方案未覆盖当地销售的所有品种，抽检样本数量未达到规定的要求。</w:t>
      </w:r>
      <w:r>
        <w:rPr>
          <w:rFonts w:ascii="Times New Roman" w:hAnsi="Times New Roman" w:eastAsia="仿宋_GB2312" w:cs="Times New Roman"/>
          <w:sz w:val="32"/>
          <w:szCs w:val="32"/>
        </w:rPr>
        <w:t>二是</w:t>
      </w:r>
      <w:r>
        <w:rPr>
          <w:rFonts w:ascii="Times New Roman" w:hAnsi="Times New Roman" w:eastAsia="仿宋_GB2312" w:cs="Times New Roman"/>
          <w:bCs/>
          <w:sz w:val="32"/>
          <w:szCs w:val="32"/>
        </w:rPr>
        <w:t>餐厨废弃物处理不符合相关规定。全程监管能力及措施仍需不断提升。</w:t>
      </w:r>
    </w:p>
    <w:p>
      <w:pPr>
        <w:numPr>
          <w:ilvl w:val="0"/>
          <w:numId w:val="2"/>
        </w:numPr>
        <w:overflowPunct w:val="0"/>
        <w:spacing w:line="59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食品安全源头风险依然突出</w:t>
      </w:r>
    </w:p>
    <w:p>
      <w:pPr>
        <w:overflowPunct w:val="0"/>
        <w:spacing w:line="59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一是</w:t>
      </w:r>
      <w:r>
        <w:rPr>
          <w:rFonts w:ascii="Times New Roman" w:hAnsi="Times New Roman" w:eastAsia="仿宋_GB2312" w:cs="Times New Roman"/>
          <w:bCs/>
          <w:sz w:val="32"/>
          <w:szCs w:val="32"/>
        </w:rPr>
        <w:t>耕地分类管理，安全利用类耕地落实品种替代、水肥调控、土壤调理等方面未见相关工作材料，无法佐证该项工作的有效落实。</w:t>
      </w:r>
      <w:r>
        <w:rPr>
          <w:rFonts w:ascii="Times New Roman" w:hAnsi="Times New Roman" w:eastAsia="仿宋_GB2312" w:cs="Times New Roman"/>
          <w:sz w:val="32"/>
          <w:szCs w:val="32"/>
        </w:rPr>
        <w:t>二是</w:t>
      </w:r>
      <w:r>
        <w:rPr>
          <w:rFonts w:ascii="Times New Roman" w:hAnsi="Times New Roman" w:eastAsia="仿宋_GB2312" w:cs="Times New Roman"/>
          <w:bCs/>
          <w:sz w:val="32"/>
          <w:szCs w:val="32"/>
        </w:rPr>
        <w:t>农业投入品在种植、养殖过程中的采购、使用及间隔期的管理不规范。现场检查发现水产养殖用药记录不规范，多种农业投入品未记录使用情况，无法核实是否规范使用及核算安全间隔期。从耕地污染治理、农业投入品规范使用等源头风险依然突出。</w:t>
      </w:r>
    </w:p>
    <w:p>
      <w:pPr>
        <w:numPr>
          <w:ilvl w:val="0"/>
          <w:numId w:val="2"/>
        </w:numPr>
        <w:overflowPunct w:val="0"/>
        <w:spacing w:line="59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生产经营者主体责任落实不到位</w:t>
      </w:r>
    </w:p>
    <w:p>
      <w:pPr>
        <w:overflowPunct w:val="0"/>
        <w:spacing w:line="59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kern w:val="0"/>
          <w:sz w:val="32"/>
          <w:szCs w:val="32"/>
        </w:rPr>
        <w:t>一是</w:t>
      </w:r>
      <w:r>
        <w:rPr>
          <w:rFonts w:ascii="Times New Roman" w:hAnsi="Times New Roman" w:eastAsia="仿宋_GB2312" w:cs="Times New Roman"/>
          <w:bCs/>
          <w:kern w:val="0"/>
          <w:sz w:val="32"/>
          <w:szCs w:val="32"/>
        </w:rPr>
        <w:t>食品经营过程卫生规范落实不到位。部分食品经营者未建立食品安全自查制度，未定期对食品安全状况进行检查评价。</w:t>
      </w:r>
      <w:r>
        <w:rPr>
          <w:rFonts w:ascii="Times New Roman" w:hAnsi="Times New Roman" w:eastAsia="仿宋_GB2312" w:cs="Times New Roman"/>
          <w:kern w:val="0"/>
          <w:sz w:val="32"/>
          <w:szCs w:val="32"/>
        </w:rPr>
        <w:t>二是</w:t>
      </w:r>
      <w:r>
        <w:rPr>
          <w:rFonts w:ascii="Times New Roman" w:hAnsi="Times New Roman" w:eastAsia="仿宋_GB2312" w:cs="Times New Roman"/>
          <w:bCs/>
          <w:kern w:val="0"/>
          <w:sz w:val="32"/>
          <w:szCs w:val="32"/>
        </w:rPr>
        <w:t>对从业人员的培训教育不足。部分食品生产经营企业没有制定单位负责人和食品安全管理人员的培训计划，未提供单位负责人和食品安全管理人员每年接受食品安全培训相关记录。</w:t>
      </w:r>
      <w:r>
        <w:rPr>
          <w:rFonts w:ascii="Times New Roman" w:hAnsi="Times New Roman" w:eastAsia="仿宋_GB2312" w:cs="Times New Roman"/>
          <w:kern w:val="0"/>
          <w:sz w:val="32"/>
          <w:szCs w:val="32"/>
        </w:rPr>
        <w:t>三是</w:t>
      </w:r>
      <w:r>
        <w:rPr>
          <w:rFonts w:ascii="Times New Roman" w:hAnsi="Times New Roman" w:eastAsia="仿宋_GB2312" w:cs="Times New Roman"/>
          <w:bCs/>
          <w:kern w:val="0"/>
          <w:sz w:val="32"/>
          <w:szCs w:val="32"/>
        </w:rPr>
        <w:t>食用农产品批发市场、农贸市场开办者主体责任未落实。对入场销售者未依法依规严格实施监督管理，现场快检抽样单样品名称、数量与农残快检原始记录不一致。</w:t>
      </w:r>
      <w:r>
        <w:rPr>
          <w:rFonts w:ascii="Times New Roman" w:hAnsi="Times New Roman" w:eastAsia="仿宋_GB2312" w:cs="Times New Roman"/>
          <w:kern w:val="0"/>
          <w:sz w:val="32"/>
          <w:szCs w:val="32"/>
        </w:rPr>
        <w:t>四是</w:t>
      </w:r>
      <w:r>
        <w:rPr>
          <w:rFonts w:ascii="Times New Roman" w:hAnsi="Times New Roman" w:eastAsia="仿宋_GB2312" w:cs="Times New Roman"/>
          <w:bCs/>
          <w:kern w:val="0"/>
          <w:sz w:val="32"/>
          <w:szCs w:val="32"/>
        </w:rPr>
        <w:t>“三小”食品安全问题未得到有效解决。食品小摊贩、小作坊、小餐饮无证无照经营行为一定程度上存在。</w:t>
      </w:r>
    </w:p>
    <w:p>
      <w:pPr>
        <w:numPr>
          <w:ilvl w:val="0"/>
          <w:numId w:val="2"/>
        </w:numPr>
        <w:overflowPunct w:val="0"/>
        <w:spacing w:line="59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食品安全基础建设与市民对食品安全的追求仍有距离</w:t>
      </w:r>
    </w:p>
    <w:p>
      <w:pPr>
        <w:overflowPunct w:val="0"/>
        <w:spacing w:line="59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一是</w:t>
      </w:r>
      <w:r>
        <w:rPr>
          <w:rFonts w:ascii="Times New Roman" w:hAnsi="Times New Roman" w:eastAsia="仿宋_GB2312" w:cs="Times New Roman"/>
          <w:bCs/>
          <w:sz w:val="32"/>
          <w:szCs w:val="32"/>
        </w:rPr>
        <w:t>食品安全基础建设滞后于城市发展。全街道学校食堂、中央厨房、集体配餐单位和大型餐饮单位和大型企业食堂等餐饮服务单位A级率不到3%；农贸市场软硬件配置参差不齐，冷链设施、卫生设施等有待进一步提升。</w:t>
      </w:r>
      <w:r>
        <w:rPr>
          <w:rFonts w:ascii="Times New Roman" w:hAnsi="Times New Roman" w:eastAsia="仿宋_GB2312" w:cs="Times New Roman"/>
          <w:sz w:val="32"/>
          <w:szCs w:val="32"/>
        </w:rPr>
        <w:t>二是</w:t>
      </w:r>
      <w:r>
        <w:rPr>
          <w:rFonts w:ascii="Times New Roman" w:hAnsi="Times New Roman" w:eastAsia="仿宋_GB2312" w:cs="Times New Roman"/>
          <w:bCs/>
          <w:sz w:val="32"/>
          <w:szCs w:val="32"/>
        </w:rPr>
        <w:t>食品产业整体水平偏低。全街道大型食品生产企业仅1家（占7.1%），年销售收入和资产总额在2000万元以上的食品生产企业6家（占42.9%）。食品生产组织化程度不高，“散”“小”“乱”现象</w:t>
      </w:r>
      <w:r>
        <w:rPr>
          <w:rFonts w:ascii="Times New Roman" w:hAnsi="Times New Roman" w:eastAsia="仿宋_GB2312" w:cs="Times New Roman"/>
          <w:sz w:val="32"/>
          <w:szCs w:val="32"/>
        </w:rPr>
        <w:t>突出</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三是</w:t>
      </w:r>
      <w:r>
        <w:rPr>
          <w:rFonts w:ascii="Times New Roman" w:hAnsi="Times New Roman" w:eastAsia="仿宋_GB2312" w:cs="Times New Roman"/>
          <w:bCs/>
          <w:sz w:val="32"/>
          <w:szCs w:val="32"/>
        </w:rPr>
        <w:t>食品监管力量相对不足。</w:t>
      </w:r>
      <w:r>
        <w:rPr>
          <w:rFonts w:ascii="Times New Roman" w:hAnsi="Times New Roman" w:eastAsia="仿宋_GB2312" w:cs="Times New Roman"/>
          <w:sz w:val="32"/>
          <w:szCs w:val="32"/>
        </w:rPr>
        <w:t>存在基层监管力量和技术手段</w:t>
      </w:r>
      <w:r>
        <w:rPr>
          <w:rFonts w:ascii="Times New Roman" w:hAnsi="Times New Roman" w:eastAsia="仿宋_GB2312" w:cs="Times New Roman"/>
          <w:bCs/>
          <w:sz w:val="32"/>
          <w:szCs w:val="32"/>
        </w:rPr>
        <w:t>与庞大的监管对象和监管要求不适应</w:t>
      </w:r>
      <w:r>
        <w:rPr>
          <w:rFonts w:ascii="Times New Roman" w:hAnsi="Times New Roman" w:eastAsia="仿宋_GB2312" w:cs="Times New Roman"/>
          <w:sz w:val="32"/>
          <w:szCs w:val="32"/>
        </w:rPr>
        <w:t>、风险监测和评估预警等基础工作薄弱、信息化手段运用不充分等问题。</w:t>
      </w:r>
      <w:r>
        <w:rPr>
          <w:rFonts w:ascii="Times New Roman" w:hAnsi="Times New Roman" w:eastAsia="仿宋_GB2312" w:cs="Times New Roman"/>
          <w:bCs/>
          <w:sz w:val="32"/>
          <w:szCs w:val="32"/>
        </w:rPr>
        <w:t>与创建“运行高效、保障有力，无缝衔接、全程监管”食品安全治理体系、打造民生幸福标杆的要求还存在一定差距。</w:t>
      </w:r>
    </w:p>
    <w:p>
      <w:pPr>
        <w:pStyle w:val="2"/>
        <w:overflowPunct w:val="0"/>
        <w:spacing w:line="590" w:lineRule="exact"/>
        <w:rPr>
          <w:rFonts w:ascii="Times New Roman" w:hAnsi="Times New Roman" w:eastAsia="仿宋_GB2312" w:cs="Times New Roman"/>
          <w:kern w:val="0"/>
          <w:sz w:val="32"/>
          <w:szCs w:val="32"/>
        </w:rPr>
      </w:pPr>
    </w:p>
    <w:p>
      <w:pPr>
        <w:pStyle w:val="2"/>
        <w:overflowPunct w:val="0"/>
        <w:spacing w:line="59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附件：1.东莞市东城街道创建省级食品安全示范区市级</w:t>
      </w:r>
    </w:p>
    <w:p>
      <w:pPr>
        <w:pStyle w:val="2"/>
        <w:overflowPunct w:val="0"/>
        <w:spacing w:line="590" w:lineRule="exact"/>
        <w:ind w:firstLine="1920" w:firstLineChars="6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初评合理缺项表</w:t>
      </w:r>
    </w:p>
    <w:p>
      <w:pPr>
        <w:pStyle w:val="2"/>
        <w:overflowPunct w:val="0"/>
        <w:spacing w:line="590" w:lineRule="exact"/>
        <w:ind w:firstLine="1600" w:firstLineChars="5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2.东莞市东城街道创建省级食品安全示范区市级</w:t>
      </w:r>
    </w:p>
    <w:p>
      <w:pPr>
        <w:pStyle w:val="2"/>
        <w:overflowPunct w:val="0"/>
        <w:spacing w:line="590" w:lineRule="exact"/>
        <w:ind w:firstLine="1920" w:firstLineChars="6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初评扣分核定表</w:t>
      </w:r>
    </w:p>
    <w:p>
      <w:pPr>
        <w:pStyle w:val="2"/>
        <w:spacing w:line="590" w:lineRule="exact"/>
        <w:ind w:firstLine="1760" w:firstLineChars="550"/>
        <w:rPr>
          <w:rFonts w:ascii="Times New Roman" w:hAnsi="Times New Roman" w:eastAsia="仿宋" w:cs="Times New Roman"/>
          <w:kern w:val="0"/>
          <w:sz w:val="32"/>
          <w:szCs w:val="32"/>
        </w:rPr>
      </w:pPr>
    </w:p>
    <w:p>
      <w:pPr>
        <w:pStyle w:val="2"/>
        <w:spacing w:line="590" w:lineRule="exact"/>
        <w:ind w:firstLine="1760" w:firstLineChars="550"/>
        <w:rPr>
          <w:rFonts w:ascii="Times New Roman" w:hAnsi="Times New Roman" w:eastAsia="仿宋" w:cs="Times New Roman"/>
          <w:kern w:val="0"/>
          <w:sz w:val="32"/>
          <w:szCs w:val="32"/>
        </w:rPr>
      </w:pPr>
    </w:p>
    <w:p>
      <w:pPr>
        <w:pStyle w:val="11"/>
        <w:spacing w:before="0" w:beforeAutospacing="0" w:after="0" w:afterAutospacing="0" w:line="600" w:lineRule="exact"/>
        <w:ind w:firstLine="700" w:firstLineChars="200"/>
        <w:rPr>
          <w:rFonts w:ascii="Times New Roman" w:hAnsi="Times New Roman" w:eastAsia="仿宋_GB2312" w:cs="Times New Roman"/>
          <w:spacing w:val="15"/>
          <w:sz w:val="32"/>
          <w:szCs w:val="32"/>
        </w:rPr>
      </w:pPr>
    </w:p>
    <w:p>
      <w:pPr>
        <w:spacing w:line="590" w:lineRule="exact"/>
        <w:ind w:firstLine="3840" w:firstLineChars="1200"/>
        <w:rPr>
          <w:rFonts w:ascii="Times New Roman" w:hAnsi="Times New Roman" w:eastAsia="仿宋_GB2312" w:cs="Times New Roman"/>
          <w:sz w:val="32"/>
          <w:szCs w:val="32"/>
        </w:rPr>
      </w:pPr>
      <w:r>
        <w:rPr>
          <w:rFonts w:ascii="Times New Roman" w:hAnsi="Times New Roman" w:eastAsia="仿宋_GB2312" w:cs="Times New Roman"/>
          <w:sz w:val="32"/>
          <w:szCs w:val="32"/>
        </w:rPr>
        <w:t>东莞市食品药品安全委员会办公室</w:t>
      </w:r>
    </w:p>
    <w:p>
      <w:pPr>
        <w:spacing w:line="590" w:lineRule="exact"/>
        <w:ind w:firstLine="5120" w:firstLineChars="1600"/>
        <w:rPr>
          <w:rFonts w:ascii="Times New Roman" w:hAnsi="Times New Roman" w:eastAsia="仿宋_GB2312" w:cs="Times New Roman"/>
          <w:sz w:val="32"/>
          <w:szCs w:val="32"/>
        </w:rPr>
      </w:pPr>
      <w:r>
        <w:rPr>
          <w:rFonts w:ascii="Times New Roman" w:hAnsi="Times New Roman" w:eastAsia="仿宋_GB2312" w:cs="Times New Roman"/>
          <w:sz w:val="32"/>
          <w:szCs w:val="32"/>
        </w:rPr>
        <w:t>2022年9月2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日</w:t>
      </w:r>
    </w:p>
    <w:p>
      <w:pPr>
        <w:pStyle w:val="2"/>
        <w:spacing w:line="600" w:lineRule="exact"/>
        <w:jc w:val="right"/>
        <w:rPr>
          <w:rFonts w:ascii="Times New Roman" w:hAnsi="Times New Roman" w:cs="Times New Roman"/>
        </w:rPr>
        <w:sectPr>
          <w:footerReference r:id="rId4" w:type="default"/>
          <w:pgSz w:w="11906" w:h="16838"/>
          <w:pgMar w:top="2098" w:right="1474" w:bottom="1984" w:left="1474" w:header="851" w:footer="992" w:gutter="0"/>
          <w:cols w:space="0" w:num="1"/>
          <w:docGrid w:type="linesAndChars" w:linePitch="451" w:charSpace="0"/>
        </w:sectPr>
      </w:pPr>
    </w:p>
    <w:p>
      <w:pPr>
        <w:spacing w:line="600" w:lineRule="exact"/>
        <w:jc w:val="left"/>
        <w:rPr>
          <w:rFonts w:ascii="Times New Roman" w:hAnsi="Times New Roman" w:eastAsia="黑体" w:cs="Times New Roman"/>
          <w:kern w:val="0"/>
          <w:sz w:val="32"/>
          <w:szCs w:val="32"/>
        </w:rPr>
      </w:pPr>
      <w:r>
        <w:rPr>
          <w:rFonts w:ascii="Times New Roman" w:hAnsi="Times New Roman" w:eastAsia="黑体" w:cs="Times New Roman"/>
          <w:kern w:val="0"/>
          <w:sz w:val="32"/>
          <w:szCs w:val="32"/>
        </w:rPr>
        <w:t>附件1</w:t>
      </w:r>
    </w:p>
    <w:p>
      <w:pPr>
        <w:spacing w:afterLines="50" w:line="600" w:lineRule="exact"/>
        <w:jc w:val="center"/>
        <w:outlineLvl w:val="0"/>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东莞市东城街道创建省级食品安全示范区市级初评合理缺项表</w:t>
      </w:r>
    </w:p>
    <w:tbl>
      <w:tblPr>
        <w:tblStyle w:val="14"/>
        <w:tblW w:w="146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
      <w:tblGrid>
        <w:gridCol w:w="744"/>
        <w:gridCol w:w="5128"/>
        <w:gridCol w:w="4111"/>
        <w:gridCol w:w="992"/>
        <w:gridCol w:w="36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575" w:hRule="atLeast"/>
          <w:tblHeader/>
          <w:jc w:val="center"/>
        </w:trPr>
        <w:tc>
          <w:tcPr>
            <w:tcW w:w="7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20" w:lineRule="exact"/>
              <w:jc w:val="center"/>
              <w:textAlignment w:val="center"/>
              <w:rPr>
                <w:rFonts w:ascii="Times New Roman" w:hAnsi="Times New Roman" w:eastAsia="黑体" w:cs="Times New Roman"/>
                <w:bCs/>
                <w:kern w:val="0"/>
                <w:sz w:val="24"/>
                <w:szCs w:val="24"/>
              </w:rPr>
            </w:pPr>
            <w:r>
              <w:rPr>
                <w:rFonts w:ascii="Times New Roman" w:hAnsi="Times New Roman" w:eastAsia="黑体" w:cs="Times New Roman"/>
                <w:bCs/>
                <w:kern w:val="0"/>
                <w:sz w:val="24"/>
                <w:szCs w:val="24"/>
              </w:rPr>
              <w:t>序号</w:t>
            </w:r>
          </w:p>
        </w:tc>
        <w:tc>
          <w:tcPr>
            <w:tcW w:w="5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20" w:lineRule="exact"/>
              <w:jc w:val="center"/>
              <w:textAlignment w:val="center"/>
              <w:rPr>
                <w:rFonts w:ascii="Times New Roman" w:hAnsi="Times New Roman" w:eastAsia="黑体" w:cs="Times New Roman"/>
                <w:bCs/>
                <w:kern w:val="0"/>
                <w:sz w:val="24"/>
                <w:szCs w:val="24"/>
              </w:rPr>
            </w:pPr>
            <w:r>
              <w:rPr>
                <w:rFonts w:ascii="Times New Roman" w:hAnsi="Times New Roman" w:eastAsia="黑体" w:cs="Times New Roman"/>
                <w:bCs/>
                <w:kern w:val="0"/>
                <w:sz w:val="24"/>
                <w:szCs w:val="24"/>
              </w:rPr>
              <w:t>评价内容</w:t>
            </w:r>
          </w:p>
        </w:tc>
        <w:tc>
          <w:tcPr>
            <w:tcW w:w="4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20" w:lineRule="exact"/>
              <w:ind w:left="63" w:leftChars="30" w:right="63" w:rightChars="30"/>
              <w:jc w:val="center"/>
              <w:textAlignment w:val="center"/>
              <w:rPr>
                <w:rFonts w:ascii="Times New Roman" w:hAnsi="Times New Roman" w:eastAsia="黑体" w:cs="Times New Roman"/>
                <w:bCs/>
                <w:sz w:val="24"/>
                <w:szCs w:val="24"/>
              </w:rPr>
            </w:pPr>
            <w:r>
              <w:rPr>
                <w:rFonts w:ascii="Times New Roman" w:hAnsi="Times New Roman" w:eastAsia="黑体" w:cs="Times New Roman"/>
                <w:bCs/>
                <w:kern w:val="0"/>
                <w:sz w:val="24"/>
                <w:szCs w:val="24"/>
              </w:rPr>
              <w:t>评价方式及材料清单</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420" w:lineRule="exact"/>
              <w:jc w:val="center"/>
              <w:textAlignment w:val="center"/>
              <w:rPr>
                <w:rFonts w:ascii="Times New Roman" w:hAnsi="Times New Roman" w:eastAsia="黑体" w:cs="Times New Roman"/>
                <w:bCs/>
                <w:kern w:val="0"/>
                <w:sz w:val="24"/>
                <w:szCs w:val="24"/>
              </w:rPr>
            </w:pPr>
            <w:r>
              <w:rPr>
                <w:rFonts w:ascii="Times New Roman" w:hAnsi="Times New Roman" w:eastAsia="黑体" w:cs="Times New Roman"/>
                <w:bCs/>
                <w:kern w:val="0"/>
                <w:sz w:val="24"/>
                <w:szCs w:val="24"/>
              </w:rPr>
              <w:t>合理缺项</w:t>
            </w:r>
          </w:p>
          <w:p>
            <w:pPr>
              <w:widowControl/>
              <w:spacing w:line="420" w:lineRule="exact"/>
              <w:jc w:val="center"/>
              <w:textAlignment w:val="center"/>
              <w:rPr>
                <w:rFonts w:ascii="Times New Roman" w:hAnsi="Times New Roman" w:eastAsia="黑体" w:cs="Times New Roman"/>
                <w:bCs/>
                <w:kern w:val="0"/>
                <w:sz w:val="24"/>
                <w:szCs w:val="24"/>
              </w:rPr>
            </w:pPr>
            <w:r>
              <w:rPr>
                <w:rFonts w:ascii="Times New Roman" w:hAnsi="Times New Roman" w:eastAsia="黑体" w:cs="Times New Roman"/>
                <w:bCs/>
                <w:kern w:val="0"/>
                <w:sz w:val="24"/>
                <w:szCs w:val="24"/>
              </w:rPr>
              <w:t>分值</w:t>
            </w:r>
          </w:p>
        </w:tc>
        <w:tc>
          <w:tcPr>
            <w:tcW w:w="3668" w:type="dxa"/>
            <w:tcBorders>
              <w:top w:val="single" w:color="000000" w:sz="4" w:space="0"/>
              <w:left w:val="single" w:color="000000" w:sz="4" w:space="0"/>
              <w:bottom w:val="single" w:color="000000" w:sz="4" w:space="0"/>
              <w:right w:val="single" w:color="000000" w:sz="4" w:space="0"/>
            </w:tcBorders>
            <w:vAlign w:val="center"/>
          </w:tcPr>
          <w:p>
            <w:pPr>
              <w:widowControl/>
              <w:spacing w:line="420" w:lineRule="exact"/>
              <w:jc w:val="center"/>
              <w:textAlignment w:val="center"/>
              <w:rPr>
                <w:rFonts w:ascii="Times New Roman" w:hAnsi="Times New Roman" w:eastAsia="黑体" w:cs="Times New Roman"/>
                <w:bCs/>
                <w:kern w:val="0"/>
                <w:sz w:val="24"/>
                <w:szCs w:val="24"/>
              </w:rPr>
            </w:pPr>
            <w:r>
              <w:rPr>
                <w:rFonts w:ascii="Times New Roman" w:hAnsi="Times New Roman" w:eastAsia="黑体" w:cs="Times New Roman"/>
                <w:bCs/>
                <w:kern w:val="0"/>
                <w:sz w:val="24"/>
                <w:szCs w:val="24"/>
              </w:rPr>
              <w:t>合理缺项内容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2329" w:hRule="atLeast"/>
          <w:jc w:val="center"/>
        </w:trPr>
        <w:tc>
          <w:tcPr>
            <w:tcW w:w="7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105" w:leftChars="50" w:right="105" w:rightChars="50"/>
              <w:jc w:val="center"/>
              <w:rPr>
                <w:rFonts w:ascii="Times New Roman" w:hAnsi="Times New Roman" w:eastAsia="仿宋" w:cs="Times New Roman"/>
                <w:sz w:val="28"/>
                <w:szCs w:val="28"/>
              </w:rPr>
            </w:pPr>
            <w:r>
              <w:rPr>
                <w:rFonts w:ascii="Times New Roman" w:hAnsi="Times New Roman" w:eastAsia="仿宋" w:cs="Times New Roman"/>
                <w:sz w:val="28"/>
                <w:szCs w:val="28"/>
              </w:rPr>
              <w:t>1</w:t>
            </w:r>
          </w:p>
        </w:tc>
        <w:tc>
          <w:tcPr>
            <w:tcW w:w="5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276" w:lineRule="auto"/>
              <w:rPr>
                <w:rFonts w:ascii="Times New Roman" w:hAnsi="Times New Roman" w:eastAsia="仿宋_GB2312" w:cs="Times New Roman"/>
                <w:sz w:val="28"/>
                <w:szCs w:val="28"/>
              </w:rPr>
            </w:pPr>
            <w:r>
              <w:rPr>
                <w:rFonts w:ascii="Times New Roman" w:hAnsi="Times New Roman" w:eastAsia="仿宋_GB2312" w:cs="Times New Roman"/>
                <w:sz w:val="28"/>
                <w:szCs w:val="28"/>
              </w:rPr>
              <w:t>11. 制定畜禽污染防治与资源化利用工作方案并有效落实，得1分；否则相应扣分。禁止污水灌溉，严禁将城镇生活垃圾、污泥、工业废物直接用作肥料，得1分；否则不得分。</w:t>
            </w:r>
          </w:p>
        </w:tc>
        <w:tc>
          <w:tcPr>
            <w:tcW w:w="4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63" w:leftChars="30" w:right="63" w:rightChars="30"/>
              <w:rPr>
                <w:rFonts w:ascii="Times New Roman" w:hAnsi="Times New Roman" w:eastAsia="仿宋_GB2312" w:cs="Times New Roman"/>
                <w:sz w:val="28"/>
                <w:szCs w:val="28"/>
              </w:rPr>
            </w:pPr>
            <w:r>
              <w:rPr>
                <w:rFonts w:ascii="Times New Roman" w:hAnsi="Times New Roman" w:eastAsia="仿宋_GB2312" w:cs="Times New Roman"/>
                <w:sz w:val="28"/>
                <w:szCs w:val="28"/>
              </w:rPr>
              <w:t>11.1制定畜禽污染防治与资源化利用工作方案并有效落实，得1分；否则相应扣分。</w:t>
            </w:r>
          </w:p>
        </w:tc>
        <w:tc>
          <w:tcPr>
            <w:tcW w:w="992"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3668"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rPr>
                <w:rFonts w:ascii="Times New Roman" w:hAnsi="Times New Roman" w:eastAsia="仿宋_GB2312" w:cs="Times New Roman"/>
                <w:sz w:val="28"/>
                <w:szCs w:val="28"/>
              </w:rPr>
            </w:pPr>
            <w:r>
              <w:rPr>
                <w:rFonts w:ascii="Times New Roman" w:hAnsi="Times New Roman" w:eastAsia="仿宋_GB2312" w:cs="Times New Roman"/>
                <w:bCs/>
                <w:color w:val="000000"/>
                <w:sz w:val="28"/>
                <w:szCs w:val="28"/>
              </w:rPr>
              <w:t>东城街道为畜禽养殖禁养区，街道范围内无畜禽养殖主体。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528" w:hRule="atLeast"/>
          <w:jc w:val="center"/>
        </w:trPr>
        <w:tc>
          <w:tcPr>
            <w:tcW w:w="7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105" w:leftChars="50" w:right="105" w:rightChars="50"/>
              <w:jc w:val="center"/>
              <w:rPr>
                <w:rFonts w:ascii="Times New Roman" w:hAnsi="Times New Roman" w:eastAsia="仿宋" w:cs="Times New Roman"/>
                <w:sz w:val="28"/>
                <w:szCs w:val="28"/>
              </w:rPr>
            </w:pPr>
            <w:r>
              <w:rPr>
                <w:rFonts w:ascii="Times New Roman" w:hAnsi="Times New Roman" w:eastAsia="仿宋" w:cs="Times New Roman"/>
                <w:sz w:val="28"/>
                <w:szCs w:val="28"/>
              </w:rPr>
              <w:t>2</w:t>
            </w:r>
          </w:p>
        </w:tc>
        <w:tc>
          <w:tcPr>
            <w:tcW w:w="5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9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12. 加强农业投入品监管。</w:t>
            </w:r>
          </w:p>
          <w:p>
            <w:pPr>
              <w:adjustRightInd w:val="0"/>
              <w:snapToGrid w:val="0"/>
              <w:spacing w:line="276" w:lineRule="auto"/>
              <w:rPr>
                <w:rFonts w:ascii="Times New Roman" w:hAnsi="Times New Roman" w:eastAsia="仿宋_GB2312" w:cs="Times New Roman"/>
                <w:sz w:val="28"/>
                <w:szCs w:val="28"/>
              </w:rPr>
            </w:pPr>
            <w:r>
              <w:rPr>
                <w:rFonts w:ascii="Times New Roman" w:hAnsi="Times New Roman" w:eastAsia="仿宋_GB2312" w:cs="Times New Roman"/>
                <w:sz w:val="28"/>
                <w:szCs w:val="28"/>
              </w:rPr>
              <w:t>1.加强农药监管：建立农药生产经营主体监管名录，辖区内农药经营企业（单位）100%建立、落实农药经营台账制度，100%落实限制使用农药定点经营、实名购买、市场准入等相关制度，落实农药包装废弃物回收处理制度。</w:t>
            </w:r>
          </w:p>
          <w:p>
            <w:pPr>
              <w:adjustRightInd w:val="0"/>
              <w:snapToGrid w:val="0"/>
              <w:spacing w:line="276" w:lineRule="auto"/>
              <w:rPr>
                <w:rFonts w:ascii="Times New Roman" w:hAnsi="Times New Roman" w:eastAsia="仿宋_GB2312" w:cs="Times New Roman"/>
                <w:sz w:val="28"/>
                <w:szCs w:val="28"/>
              </w:rPr>
            </w:pPr>
            <w:r>
              <w:rPr>
                <w:rFonts w:ascii="Times New Roman" w:hAnsi="Times New Roman" w:eastAsia="仿宋_GB2312" w:cs="Times New Roman"/>
                <w:sz w:val="28"/>
                <w:szCs w:val="28"/>
              </w:rPr>
              <w:t>2.加强兽药监管：建立兽药生产经营主体监管名录，推行兽药良好生产经营规范。</w:t>
            </w:r>
          </w:p>
          <w:p>
            <w:pPr>
              <w:adjustRightInd w:val="0"/>
              <w:snapToGrid w:val="0"/>
              <w:spacing w:line="276" w:lineRule="auto"/>
              <w:rPr>
                <w:rFonts w:ascii="Times New Roman" w:hAnsi="Times New Roman" w:eastAsia="仿宋_GB2312" w:cs="Times New Roman"/>
                <w:sz w:val="28"/>
                <w:szCs w:val="28"/>
              </w:rPr>
            </w:pPr>
            <w:r>
              <w:rPr>
                <w:rFonts w:ascii="Times New Roman" w:hAnsi="Times New Roman" w:eastAsia="仿宋_GB2312" w:cs="Times New Roman"/>
                <w:sz w:val="28"/>
                <w:szCs w:val="28"/>
              </w:rPr>
              <w:t>3.加强饲料监管：建立饲料及饲料添加剂生产经营主体监管名录，开展对养殖环节自配料监管，得1分；否则扣0.5分/项。</w:t>
            </w:r>
          </w:p>
        </w:tc>
        <w:tc>
          <w:tcPr>
            <w:tcW w:w="4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63" w:leftChars="30" w:right="63" w:rightChars="3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12.4建立饲料及饲料添加剂生产经营主体监管名录，提供对养殖环节自配料监管的相关佐证材料。</w:t>
            </w:r>
          </w:p>
        </w:tc>
        <w:tc>
          <w:tcPr>
            <w:tcW w:w="992"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0.5</w:t>
            </w:r>
          </w:p>
        </w:tc>
        <w:tc>
          <w:tcPr>
            <w:tcW w:w="3668"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rPr>
                <w:rFonts w:ascii="Times New Roman" w:hAnsi="Times New Roman" w:eastAsia="仿宋_GB2312" w:cs="Times New Roman"/>
                <w:sz w:val="28"/>
                <w:szCs w:val="28"/>
              </w:rPr>
            </w:pPr>
            <w:r>
              <w:rPr>
                <w:rFonts w:ascii="Times New Roman" w:hAnsi="Times New Roman" w:eastAsia="仿宋_GB2312" w:cs="Times New Roman"/>
                <w:sz w:val="28"/>
                <w:szCs w:val="28"/>
              </w:rPr>
              <w:t>辖区内无食用农产品种植企业，养殖企业只有1家。无饲料及饲料添加剂生产经营企业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90" w:hRule="atLeast"/>
          <w:jc w:val="center"/>
        </w:trPr>
        <w:tc>
          <w:tcPr>
            <w:tcW w:w="7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105" w:leftChars="50" w:right="105" w:rightChars="50"/>
              <w:jc w:val="center"/>
              <w:rPr>
                <w:rFonts w:ascii="Times New Roman" w:hAnsi="Times New Roman" w:eastAsia="仿宋" w:cs="Times New Roman"/>
                <w:sz w:val="28"/>
                <w:szCs w:val="28"/>
              </w:rPr>
            </w:pPr>
            <w:r>
              <w:rPr>
                <w:rFonts w:ascii="Times New Roman" w:hAnsi="Times New Roman" w:eastAsia="仿宋" w:cs="Times New Roman"/>
                <w:sz w:val="28"/>
                <w:szCs w:val="28"/>
              </w:rPr>
              <w:t>3</w:t>
            </w:r>
          </w:p>
        </w:tc>
        <w:tc>
          <w:tcPr>
            <w:tcW w:w="5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276" w:lineRule="auto"/>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15. 贯彻落实粤府函〔2020〕24号文要求，推进屠宰行业转型升级高质量发展，完善屠宰发展规划，优化屠宰产能布局。严格执行生猪定点屠宰制度，清理整治小散乱差生猪定点屠宰场。屠宰企业落实流向登记和进场查验、肉品品质检测、“瘦肉精”检测等制度。加强牛羊等其他畜禽的屠宰管理，按法律法规要求出厂入市。有效落实的得4分，否则相应扣分。</w:t>
            </w:r>
          </w:p>
        </w:tc>
        <w:tc>
          <w:tcPr>
            <w:tcW w:w="4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20" w:lineRule="exact"/>
              <w:rPr>
                <w:rFonts w:ascii="Times New Roman" w:hAnsi="Times New Roman" w:eastAsia="仿宋_GB2312" w:cs="Times New Roman"/>
                <w:sz w:val="28"/>
                <w:szCs w:val="28"/>
              </w:rPr>
            </w:pPr>
            <w:r>
              <w:rPr>
                <w:rFonts w:ascii="Times New Roman" w:hAnsi="Times New Roman" w:eastAsia="仿宋_GB2312" w:cs="Times New Roman"/>
                <w:b/>
                <w:bCs/>
                <w:sz w:val="28"/>
                <w:szCs w:val="28"/>
              </w:rPr>
              <w:t>资料审查（省农业农村厅）</w:t>
            </w:r>
            <w:r>
              <w:rPr>
                <w:rFonts w:ascii="Times New Roman" w:hAnsi="Times New Roman" w:eastAsia="仿宋_GB2312" w:cs="Times New Roman"/>
                <w:sz w:val="28"/>
                <w:szCs w:val="28"/>
              </w:rPr>
              <w:t>：</w:t>
            </w:r>
          </w:p>
          <w:p>
            <w:pPr>
              <w:spacing w:line="3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15.1.市、县屠宰行业转型升级高质量发展的相关佐证材料；</w:t>
            </w:r>
          </w:p>
          <w:p>
            <w:pPr>
              <w:spacing w:line="3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15.2.市、县建立生猪定点屠宰制度的相关佐证材料；</w:t>
            </w:r>
          </w:p>
          <w:p>
            <w:pPr>
              <w:spacing w:line="420" w:lineRule="exact"/>
              <w:ind w:left="63" w:leftChars="30" w:right="63" w:rightChars="30"/>
              <w:rPr>
                <w:rFonts w:ascii="Times New Roman" w:hAnsi="Times New Roman" w:eastAsia="仿宋_GB2312" w:cs="Times New Roman"/>
                <w:sz w:val="28"/>
                <w:szCs w:val="28"/>
              </w:rPr>
            </w:pPr>
            <w:r>
              <w:rPr>
                <w:rFonts w:ascii="Times New Roman" w:hAnsi="Times New Roman" w:eastAsia="仿宋_GB2312" w:cs="Times New Roman"/>
                <w:sz w:val="28"/>
                <w:szCs w:val="28"/>
              </w:rPr>
              <w:t>15.3.市、县加强畜禽屠宰管理的相关佐证材料。</w:t>
            </w:r>
          </w:p>
        </w:tc>
        <w:tc>
          <w:tcPr>
            <w:tcW w:w="992"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w:t>
            </w:r>
          </w:p>
        </w:tc>
        <w:tc>
          <w:tcPr>
            <w:tcW w:w="3668"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rPr>
                <w:rFonts w:ascii="Times New Roman" w:hAnsi="Times New Roman" w:eastAsia="仿宋_GB2312" w:cs="Times New Roman"/>
                <w:sz w:val="28"/>
                <w:szCs w:val="28"/>
              </w:rPr>
            </w:pPr>
            <w:r>
              <w:rPr>
                <w:rFonts w:ascii="Times New Roman" w:hAnsi="Times New Roman" w:eastAsia="仿宋_GB2312" w:cs="Times New Roman"/>
                <w:sz w:val="28"/>
                <w:szCs w:val="28"/>
              </w:rPr>
              <w:t>辖区内无屠宰企业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1440" w:hRule="atLeast"/>
          <w:jc w:val="center"/>
        </w:trPr>
        <w:tc>
          <w:tcPr>
            <w:tcW w:w="7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105" w:leftChars="50" w:right="105" w:rightChars="50"/>
              <w:jc w:val="center"/>
              <w:rPr>
                <w:rFonts w:ascii="Times New Roman" w:hAnsi="Times New Roman" w:eastAsia="仿宋" w:cs="Times New Roman"/>
                <w:sz w:val="28"/>
                <w:szCs w:val="28"/>
              </w:rPr>
            </w:pPr>
            <w:r>
              <w:rPr>
                <w:rFonts w:ascii="Times New Roman" w:hAnsi="Times New Roman" w:eastAsia="仿宋" w:cs="Times New Roman"/>
                <w:sz w:val="28"/>
                <w:szCs w:val="28"/>
              </w:rPr>
              <w:t>4</w:t>
            </w:r>
          </w:p>
        </w:tc>
        <w:tc>
          <w:tcPr>
            <w:tcW w:w="5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105" w:leftChars="50" w:right="105" w:rightChars="5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16. </w:t>
            </w:r>
            <w:r>
              <w:rPr>
                <w:rFonts w:ascii="Times New Roman" w:hAnsi="Times New Roman" w:eastAsia="仿宋_GB2312" w:cs="Times New Roman"/>
                <w:color w:val="000000"/>
                <w:kern w:val="0"/>
                <w:sz w:val="28"/>
                <w:szCs w:val="28"/>
              </w:rPr>
              <w:t>建立病死畜禽及不合格农产品无害化处理机制并有效落实</w:t>
            </w:r>
            <w:r>
              <w:rPr>
                <w:rFonts w:ascii="Times New Roman" w:hAnsi="Times New Roman" w:eastAsia="仿宋_GB2312" w:cs="Times New Roman"/>
                <w:sz w:val="28"/>
                <w:szCs w:val="28"/>
              </w:rPr>
              <w:t>，</w:t>
            </w:r>
            <w:r>
              <w:rPr>
                <w:rFonts w:ascii="Times New Roman" w:hAnsi="Times New Roman" w:eastAsia="仿宋_GB2312" w:cs="Times New Roman"/>
                <w:color w:val="000000"/>
                <w:kern w:val="0"/>
                <w:sz w:val="28"/>
                <w:szCs w:val="28"/>
              </w:rPr>
              <w:t>病死畜禽无害化处理率达到100%</w:t>
            </w:r>
            <w:r>
              <w:rPr>
                <w:rFonts w:ascii="Times New Roman" w:hAnsi="Times New Roman" w:eastAsia="仿宋_GB2312" w:cs="Times New Roman"/>
                <w:sz w:val="28"/>
                <w:szCs w:val="28"/>
              </w:rPr>
              <w:t>，得2分；否则相应扣分。</w:t>
            </w:r>
          </w:p>
        </w:tc>
        <w:tc>
          <w:tcPr>
            <w:tcW w:w="4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rPr>
                <w:rFonts w:ascii="Times New Roman" w:hAnsi="Times New Roman" w:eastAsia="仿宋_GB2312" w:cs="Times New Roman"/>
                <w:sz w:val="28"/>
                <w:szCs w:val="28"/>
              </w:rPr>
            </w:pPr>
            <w:r>
              <w:rPr>
                <w:rFonts w:ascii="Times New Roman" w:hAnsi="Times New Roman" w:eastAsia="仿宋_GB2312" w:cs="Times New Roman"/>
                <w:b/>
                <w:bCs/>
                <w:sz w:val="28"/>
                <w:szCs w:val="28"/>
              </w:rPr>
              <w:t>资料审查（省农业农村厅）</w:t>
            </w:r>
            <w:r>
              <w:rPr>
                <w:rFonts w:ascii="Times New Roman" w:hAnsi="Times New Roman" w:eastAsia="仿宋_GB2312" w:cs="Times New Roman"/>
                <w:sz w:val="28"/>
                <w:szCs w:val="28"/>
              </w:rPr>
              <w:t>：</w:t>
            </w:r>
          </w:p>
          <w:p>
            <w:pPr>
              <w:widowControl/>
              <w:spacing w:line="3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16.1市、县建立病死动物及畜禽屠宰废弃物无害化处理制度机制；</w:t>
            </w:r>
          </w:p>
          <w:p>
            <w:pPr>
              <w:widowControl/>
              <w:spacing w:line="3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16.2有效落实病死动物及畜禽屠宰废弃物无害化处理制度机制的相关佐证材料。（开展专项行动的方案、检查记录、行动照片、工作信息等）</w:t>
            </w:r>
          </w:p>
          <w:p>
            <w:pPr>
              <w:spacing w:line="420" w:lineRule="exact"/>
              <w:ind w:left="63" w:leftChars="30" w:right="63" w:rightChars="30"/>
              <w:rPr>
                <w:rFonts w:ascii="Times New Roman" w:hAnsi="Times New Roman" w:eastAsia="仿宋_GB2312" w:cs="Times New Roman"/>
                <w:sz w:val="28"/>
                <w:szCs w:val="28"/>
              </w:rPr>
            </w:pPr>
            <w:r>
              <w:rPr>
                <w:rFonts w:ascii="Times New Roman" w:hAnsi="Times New Roman" w:eastAsia="仿宋_GB2312" w:cs="Times New Roman"/>
                <w:b/>
                <w:bCs/>
                <w:sz w:val="28"/>
                <w:szCs w:val="28"/>
              </w:rPr>
              <w:t>现场检查：</w:t>
            </w:r>
            <w:r>
              <w:rPr>
                <w:rFonts w:ascii="Times New Roman" w:hAnsi="Times New Roman" w:eastAsia="仿宋_GB2312" w:cs="Times New Roman"/>
                <w:sz w:val="28"/>
                <w:szCs w:val="28"/>
              </w:rPr>
              <w:t>随机抽查定点屠宰企业、家禽批发市场等单位。</w:t>
            </w:r>
          </w:p>
        </w:tc>
        <w:tc>
          <w:tcPr>
            <w:tcW w:w="992"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3668"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rPr>
                <w:rFonts w:ascii="Times New Roman" w:hAnsi="Times New Roman" w:eastAsia="仿宋_GB2312" w:cs="Times New Roman"/>
                <w:sz w:val="28"/>
                <w:szCs w:val="28"/>
              </w:rPr>
            </w:pPr>
            <w:r>
              <w:rPr>
                <w:rFonts w:ascii="Times New Roman" w:hAnsi="Times New Roman" w:eastAsia="仿宋_GB2312" w:cs="Times New Roman"/>
                <w:sz w:val="28"/>
                <w:szCs w:val="28"/>
              </w:rPr>
              <w:t>辖区内无屠宰企业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3095" w:hRule="atLeast"/>
          <w:jc w:val="center"/>
        </w:trPr>
        <w:tc>
          <w:tcPr>
            <w:tcW w:w="7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20" w:lineRule="exact"/>
              <w:ind w:left="105" w:leftChars="50" w:right="105" w:rightChars="50"/>
              <w:jc w:val="center"/>
              <w:rPr>
                <w:rFonts w:ascii="Times New Roman" w:hAnsi="Times New Roman" w:eastAsia="仿宋" w:cs="Times New Roman"/>
                <w:sz w:val="28"/>
                <w:szCs w:val="28"/>
              </w:rPr>
            </w:pPr>
            <w:r>
              <w:rPr>
                <w:rFonts w:ascii="Times New Roman" w:hAnsi="Times New Roman" w:eastAsia="仿宋" w:cs="Times New Roman"/>
                <w:sz w:val="28"/>
                <w:szCs w:val="28"/>
              </w:rPr>
              <w:t>5</w:t>
            </w:r>
          </w:p>
        </w:tc>
        <w:tc>
          <w:tcPr>
            <w:tcW w:w="5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76" w:lineRule="auto"/>
              <w:ind w:left="105" w:leftChars="50" w:right="105" w:rightChars="50"/>
              <w:rPr>
                <w:rFonts w:ascii="Times New Roman" w:hAnsi="Times New Roman" w:eastAsia="仿宋_GB2312" w:cs="Times New Roman"/>
                <w:sz w:val="28"/>
                <w:szCs w:val="28"/>
              </w:rPr>
            </w:pPr>
            <w:r>
              <w:rPr>
                <w:rFonts w:ascii="Times New Roman" w:hAnsi="Times New Roman" w:eastAsia="仿宋_GB2312" w:cs="Times New Roman"/>
                <w:sz w:val="28"/>
                <w:szCs w:val="28"/>
              </w:rPr>
              <w:t>21．加强餐（饮）具集中消毒服务单位监督管理，督促落实生产过程质量控制措施，提高卫生管理水平，对辖区餐（饮）具集中消毒服务单位每年至少开展1次覆盖全项目的监督检查和产品抽检，督促经营过程持续合规，得2分；否则相应扣分。</w:t>
            </w:r>
          </w:p>
        </w:tc>
        <w:tc>
          <w:tcPr>
            <w:tcW w:w="4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adjustRightInd w:val="0"/>
              <w:snapToGrid w:val="0"/>
              <w:spacing w:line="320" w:lineRule="exact"/>
              <w:rPr>
                <w:rFonts w:ascii="Times New Roman" w:hAnsi="Times New Roman" w:eastAsia="仿宋_GB2312" w:cs="Times New Roman"/>
                <w:sz w:val="28"/>
                <w:szCs w:val="28"/>
              </w:rPr>
            </w:pPr>
            <w:r>
              <w:rPr>
                <w:rFonts w:ascii="Times New Roman" w:hAnsi="Times New Roman" w:eastAsia="仿宋_GB2312" w:cs="Times New Roman"/>
                <w:b/>
                <w:bCs/>
                <w:sz w:val="28"/>
                <w:szCs w:val="28"/>
              </w:rPr>
              <w:t>资料审查（省卫生健康委）</w:t>
            </w:r>
            <w:r>
              <w:rPr>
                <w:rFonts w:ascii="Times New Roman" w:hAnsi="Times New Roman" w:eastAsia="仿宋_GB2312" w:cs="Times New Roman"/>
                <w:sz w:val="28"/>
                <w:szCs w:val="28"/>
              </w:rPr>
              <w:t>：</w:t>
            </w:r>
          </w:p>
          <w:p>
            <w:pPr>
              <w:widowControl/>
              <w:adjustRightInd w:val="0"/>
              <w:snapToGrid w:val="0"/>
              <w:spacing w:line="3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21.1.提供近三年市、县餐（饮）具集中消毒服务单位数量；</w:t>
            </w:r>
          </w:p>
          <w:p>
            <w:pPr>
              <w:widowControl/>
              <w:adjustRightInd w:val="0"/>
              <w:snapToGrid w:val="0"/>
              <w:spacing w:line="3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21.2.提供近三年监督管理工作计划、监督检查记录、抽检结果及工作总结等佐证材料。</w:t>
            </w:r>
          </w:p>
          <w:p>
            <w:pPr>
              <w:pStyle w:val="9"/>
              <w:spacing w:line="420" w:lineRule="exact"/>
              <w:ind w:left="63" w:leftChars="30" w:right="63" w:rightChars="30" w:firstLine="0" w:firstLineChars="0"/>
              <w:rPr>
                <w:rFonts w:eastAsia="仿宋_GB2312" w:cs="Times New Roman"/>
                <w:sz w:val="28"/>
                <w:szCs w:val="28"/>
              </w:rPr>
            </w:pPr>
            <w:r>
              <w:rPr>
                <w:rFonts w:eastAsia="仿宋_GB2312" w:cs="Times New Roman"/>
                <w:b/>
                <w:bCs/>
                <w:sz w:val="28"/>
                <w:szCs w:val="28"/>
              </w:rPr>
              <w:t>现场检查</w:t>
            </w:r>
            <w:r>
              <w:rPr>
                <w:rFonts w:eastAsia="仿宋_GB2312" w:cs="Times New Roman"/>
                <w:sz w:val="28"/>
                <w:szCs w:val="28"/>
              </w:rPr>
              <w:t>：随机抽查餐（饮）具集中消毒服务单位。</w:t>
            </w:r>
          </w:p>
        </w:tc>
        <w:tc>
          <w:tcPr>
            <w:tcW w:w="992"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3668" w:type="dxa"/>
            <w:tcBorders>
              <w:top w:val="single" w:color="000000" w:sz="4" w:space="0"/>
              <w:left w:val="single" w:color="000000" w:sz="4" w:space="0"/>
              <w:bottom w:val="single" w:color="000000" w:sz="4" w:space="0"/>
              <w:right w:val="single" w:color="000000" w:sz="4" w:space="0"/>
            </w:tcBorders>
            <w:vAlign w:val="center"/>
          </w:tcPr>
          <w:p>
            <w:pPr>
              <w:spacing w:line="420" w:lineRule="exact"/>
              <w:ind w:left="105" w:leftChars="50" w:right="105" w:rightChars="50"/>
              <w:rPr>
                <w:rFonts w:ascii="Times New Roman" w:hAnsi="Times New Roman" w:eastAsia="仿宋_GB2312" w:cs="Times New Roman"/>
                <w:sz w:val="28"/>
                <w:szCs w:val="28"/>
              </w:rPr>
            </w:pPr>
            <w:r>
              <w:rPr>
                <w:rFonts w:ascii="Times New Roman" w:hAnsi="Times New Roman" w:eastAsia="仿宋_GB2312" w:cs="Times New Roman"/>
                <w:sz w:val="28"/>
                <w:szCs w:val="28"/>
              </w:rPr>
              <w:t>辖区内无餐饮具消毒单位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PrEx>
        <w:trPr>
          <w:trHeight w:val="813" w:hRule="atLeast"/>
          <w:jc w:val="center"/>
        </w:trPr>
        <w:tc>
          <w:tcPr>
            <w:tcW w:w="998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20" w:lineRule="exact"/>
              <w:ind w:left="63" w:leftChars="30" w:right="63" w:rightChars="30"/>
              <w:jc w:val="center"/>
              <w:textAlignment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合计</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420" w:lineRule="exact"/>
              <w:jc w:val="center"/>
              <w:textAlignment w:val="center"/>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9.50</w:t>
            </w:r>
          </w:p>
        </w:tc>
        <w:tc>
          <w:tcPr>
            <w:tcW w:w="36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20" w:lineRule="exact"/>
              <w:jc w:val="center"/>
              <w:textAlignment w:val="center"/>
              <w:rPr>
                <w:rFonts w:ascii="Times New Roman" w:hAnsi="Times New Roman" w:eastAsia="仿宋_GB2312" w:cs="Times New Roman"/>
                <w:b/>
                <w:bCs/>
                <w:sz w:val="28"/>
                <w:szCs w:val="28"/>
              </w:rPr>
            </w:pPr>
          </w:p>
        </w:tc>
      </w:tr>
    </w:tbl>
    <w:p>
      <w:pPr>
        <w:pStyle w:val="2"/>
        <w:rPr>
          <w:rFonts w:ascii="Times New Roman" w:hAnsi="Times New Roman" w:cs="Times New Roman"/>
        </w:rPr>
      </w:pPr>
    </w:p>
    <w:p>
      <w:pPr>
        <w:spacing w:line="600" w:lineRule="exact"/>
        <w:jc w:val="left"/>
        <w:rPr>
          <w:rFonts w:ascii="Times New Roman" w:hAnsi="Times New Roman" w:eastAsia="黑体" w:cs="Times New Roman"/>
          <w:kern w:val="0"/>
          <w:sz w:val="28"/>
          <w:szCs w:val="28"/>
        </w:rPr>
        <w:sectPr>
          <w:footerReference r:id="rId5" w:type="default"/>
          <w:pgSz w:w="16838" w:h="11906" w:orient="landscape"/>
          <w:pgMar w:top="1746" w:right="1157" w:bottom="1179" w:left="1157" w:header="851" w:footer="992" w:gutter="0"/>
          <w:cols w:space="0" w:num="1"/>
          <w:docGrid w:linePitch="451" w:charSpace="0"/>
        </w:sectPr>
      </w:pPr>
    </w:p>
    <w:p>
      <w:pPr>
        <w:spacing w:line="600" w:lineRule="exact"/>
        <w:jc w:val="left"/>
        <w:rPr>
          <w:rFonts w:ascii="Times New Roman" w:hAnsi="Times New Roman" w:eastAsia="黑体" w:cs="Times New Roman"/>
          <w:kern w:val="0"/>
          <w:sz w:val="32"/>
          <w:szCs w:val="32"/>
        </w:rPr>
      </w:pPr>
      <w:r>
        <w:rPr>
          <w:rFonts w:ascii="Times New Roman" w:hAnsi="Times New Roman" w:eastAsia="黑体" w:cs="Times New Roman"/>
          <w:kern w:val="0"/>
          <w:sz w:val="32"/>
          <w:szCs w:val="32"/>
        </w:rPr>
        <w:t>附件2</w:t>
      </w:r>
    </w:p>
    <w:p>
      <w:pPr>
        <w:spacing w:afterLines="50" w:line="600" w:lineRule="exact"/>
        <w:jc w:val="center"/>
        <w:outlineLvl w:val="0"/>
        <w:rPr>
          <w:rFonts w:ascii="Times New Roman" w:hAnsi="Times New Roman" w:eastAsia="方正小标宋简体" w:cs="Times New Roman"/>
          <w:sz w:val="44"/>
          <w:szCs w:val="44"/>
        </w:rPr>
      </w:pPr>
      <w:bookmarkStart w:id="6" w:name="_Toc19726"/>
      <w:r>
        <w:rPr>
          <w:rFonts w:ascii="Times New Roman" w:hAnsi="Times New Roman" w:eastAsia="方正小标宋简体" w:cs="Times New Roman"/>
          <w:sz w:val="44"/>
          <w:szCs w:val="44"/>
        </w:rPr>
        <w:t>东莞市东城街道创建省级食品安全示范区市级初评扣分核定表</w:t>
      </w:r>
    </w:p>
    <w:tbl>
      <w:tblPr>
        <w:tblStyle w:val="14"/>
        <w:tblW w:w="14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
      <w:tblGrid>
        <w:gridCol w:w="552"/>
        <w:gridCol w:w="5953"/>
        <w:gridCol w:w="851"/>
        <w:gridCol w:w="7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0" w:hRule="atLeast"/>
          <w:tblHeader/>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黑体" w:cs="Times New Roman"/>
                <w:sz w:val="24"/>
                <w:szCs w:val="24"/>
              </w:rPr>
            </w:pPr>
            <w:r>
              <w:rPr>
                <w:rFonts w:ascii="Times New Roman" w:hAnsi="Times New Roman" w:eastAsia="仿宋_GB2312" w:cs="Times New Roman"/>
                <w:b/>
                <w:color w:val="000000"/>
                <w:kern w:val="0"/>
                <w:sz w:val="28"/>
                <w:szCs w:val="28"/>
              </w:rPr>
              <w:t>序号</w:t>
            </w:r>
          </w:p>
        </w:tc>
        <w:tc>
          <w:tcPr>
            <w:tcW w:w="5953" w:type="dxa"/>
            <w:tcMar>
              <w:top w:w="10" w:type="dxa"/>
              <w:left w:w="10" w:type="dxa"/>
              <w:right w:w="10" w:type="dxa"/>
            </w:tcMar>
            <w:vAlign w:val="center"/>
          </w:tcPr>
          <w:p>
            <w:pPr>
              <w:widowControl/>
              <w:jc w:val="center"/>
              <w:textAlignment w:val="center"/>
              <w:rPr>
                <w:rFonts w:ascii="Times New Roman" w:hAnsi="Times New Roman" w:eastAsia="黑体" w:cs="Times New Roman"/>
                <w:sz w:val="24"/>
                <w:szCs w:val="24"/>
              </w:rPr>
            </w:pPr>
            <w:r>
              <w:rPr>
                <w:rFonts w:ascii="Times New Roman" w:hAnsi="Times New Roman" w:eastAsia="仿宋_GB2312" w:cs="Times New Roman"/>
                <w:b/>
                <w:color w:val="000000"/>
                <w:kern w:val="0"/>
                <w:sz w:val="28"/>
                <w:szCs w:val="28"/>
              </w:rPr>
              <w:t>评价内容</w:t>
            </w:r>
          </w:p>
        </w:tc>
        <w:tc>
          <w:tcPr>
            <w:tcW w:w="851" w:type="dxa"/>
            <w:tcMar>
              <w:top w:w="10" w:type="dxa"/>
              <w:left w:w="10" w:type="dxa"/>
              <w:right w:w="10" w:type="dxa"/>
            </w:tcMar>
            <w:vAlign w:val="center"/>
          </w:tcPr>
          <w:p>
            <w:pPr>
              <w:widowControl/>
              <w:jc w:val="center"/>
              <w:textAlignment w:val="center"/>
              <w:rPr>
                <w:rFonts w:ascii="Times New Roman" w:hAnsi="Times New Roman" w:eastAsia="黑体" w:cs="Times New Roman"/>
                <w:sz w:val="24"/>
                <w:szCs w:val="24"/>
              </w:rPr>
            </w:pPr>
            <w:r>
              <w:rPr>
                <w:rFonts w:ascii="Times New Roman" w:hAnsi="Times New Roman" w:eastAsia="仿宋_GB2312" w:cs="Times New Roman"/>
                <w:b/>
                <w:color w:val="000000"/>
                <w:kern w:val="0"/>
                <w:sz w:val="28"/>
                <w:szCs w:val="28"/>
              </w:rPr>
              <w:t>所扣</w:t>
            </w:r>
            <w:r>
              <w:rPr>
                <w:rFonts w:ascii="Times New Roman" w:hAnsi="Times New Roman" w:eastAsia="仿宋_GB2312" w:cs="Times New Roman"/>
                <w:b/>
                <w:color w:val="000000"/>
                <w:kern w:val="0"/>
                <w:sz w:val="28"/>
                <w:szCs w:val="28"/>
              </w:rPr>
              <w:br/>
            </w:r>
            <w:r>
              <w:rPr>
                <w:rFonts w:ascii="Times New Roman" w:hAnsi="Times New Roman" w:eastAsia="仿宋_GB2312" w:cs="Times New Roman"/>
                <w:b/>
                <w:color w:val="000000"/>
                <w:kern w:val="0"/>
                <w:sz w:val="28"/>
                <w:szCs w:val="28"/>
              </w:rPr>
              <w:t>分值</w:t>
            </w:r>
          </w:p>
        </w:tc>
        <w:tc>
          <w:tcPr>
            <w:tcW w:w="7420" w:type="dxa"/>
            <w:tcMar>
              <w:top w:w="10" w:type="dxa"/>
              <w:left w:w="10" w:type="dxa"/>
              <w:right w:w="10" w:type="dxa"/>
            </w:tcMar>
            <w:vAlign w:val="center"/>
          </w:tcPr>
          <w:p>
            <w:pPr>
              <w:widowControl/>
              <w:jc w:val="center"/>
              <w:textAlignment w:val="center"/>
              <w:rPr>
                <w:rFonts w:ascii="Times New Roman" w:hAnsi="Times New Roman" w:eastAsia="黑体" w:cs="Times New Roman"/>
                <w:sz w:val="24"/>
                <w:szCs w:val="24"/>
              </w:rPr>
            </w:pPr>
            <w:r>
              <w:rPr>
                <w:rFonts w:ascii="Times New Roman" w:hAnsi="Times New Roman" w:eastAsia="仿宋_GB2312" w:cs="Times New Roman"/>
                <w:b/>
                <w:color w:val="000000"/>
                <w:kern w:val="0"/>
                <w:sz w:val="28"/>
                <w:szCs w:val="28"/>
              </w:rPr>
              <w:t>扣分理由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27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1</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kern w:val="0"/>
                <w:sz w:val="28"/>
                <w:szCs w:val="28"/>
              </w:rPr>
            </w:pPr>
            <w:r>
              <w:rPr>
                <w:rFonts w:ascii="Times New Roman" w:hAnsi="Times New Roman" w:eastAsia="仿宋_GB2312" w:cs="Times New Roman"/>
                <w:color w:val="000000"/>
                <w:kern w:val="0"/>
                <w:sz w:val="28"/>
                <w:szCs w:val="28"/>
              </w:rPr>
              <w:t>（5）加强食品安全委员会及其办公室建设，召开食品安全委员会全体会议，及时调整食安委成员单位及委员名单，出台食品安全委员会工作规则、工作制度等并有效落实，食品安全委员会成员单位信息通报、形势会商、风险交流、数据共享等工作机制健全并有效运行，食品安全办综合协调作用有效发挥，及时召开会议研究食品安全问题，得2分；未有效落实的，扣0.5分/项。</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kern w:val="0"/>
                <w:sz w:val="28"/>
                <w:szCs w:val="28"/>
              </w:rPr>
            </w:pPr>
            <w:r>
              <w:rPr>
                <w:rFonts w:ascii="Times New Roman" w:hAnsi="Times New Roman" w:eastAsia="仿宋_GB2312" w:cs="Times New Roman"/>
                <w:color w:val="000000"/>
                <w:kern w:val="0"/>
                <w:sz w:val="28"/>
                <w:szCs w:val="28"/>
              </w:rPr>
              <w:t>0.5</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kern w:val="0"/>
                <w:sz w:val="28"/>
                <w:szCs w:val="28"/>
              </w:rPr>
            </w:pPr>
            <w:r>
              <w:rPr>
                <w:rFonts w:ascii="Times New Roman" w:hAnsi="Times New Roman" w:eastAsia="仿宋_GB2312" w:cs="Times New Roman"/>
                <w:color w:val="000000"/>
                <w:kern w:val="0"/>
                <w:sz w:val="28"/>
                <w:szCs w:val="28"/>
              </w:rPr>
              <w:t>未提供2022年东城街道召开食品安全委员会全体会议相关佐证材料。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27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2</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sz w:val="28"/>
                <w:szCs w:val="28"/>
              </w:rPr>
            </w:pPr>
            <w:r>
              <w:rPr>
                <w:rFonts w:ascii="Times New Roman" w:hAnsi="Times New Roman" w:eastAsia="仿宋_GB2312" w:cs="Times New Roman"/>
                <w:color w:val="000000"/>
                <w:kern w:val="0"/>
                <w:sz w:val="28"/>
                <w:szCs w:val="28"/>
              </w:rPr>
              <w:t>（10）全面推行耕地分类管理，在安全利用类耕地落实品种替代、水肥调控、土壤调理等农艺措施，在严格管控类耕地落实种植结构调整等措施，得2分；否则相应扣分。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kern w:val="0"/>
                <w:sz w:val="28"/>
                <w:szCs w:val="28"/>
              </w:rPr>
            </w:pPr>
            <w:r>
              <w:rPr>
                <w:rFonts w:ascii="Times New Roman" w:hAnsi="Times New Roman" w:eastAsia="仿宋_GB2312" w:cs="Times New Roman"/>
                <w:color w:val="000000"/>
                <w:kern w:val="0"/>
                <w:sz w:val="28"/>
                <w:szCs w:val="28"/>
              </w:rPr>
              <w:t>1</w:t>
            </w:r>
          </w:p>
        </w:tc>
        <w:tc>
          <w:tcPr>
            <w:tcW w:w="7420" w:type="dxa"/>
            <w:tcMar>
              <w:top w:w="10" w:type="dxa"/>
              <w:left w:w="10" w:type="dxa"/>
              <w:right w:w="10" w:type="dxa"/>
            </w:tcMar>
            <w:vAlign w:val="center"/>
          </w:tcPr>
          <w:p>
            <w:pPr>
              <w:snapToGrid w:val="0"/>
              <w:rPr>
                <w:rFonts w:ascii="Times New Roman" w:hAnsi="Times New Roman" w:eastAsia="仿宋_GB2312" w:cs="Times New Roman"/>
                <w:color w:val="000000"/>
                <w:sz w:val="28"/>
                <w:szCs w:val="28"/>
              </w:rPr>
            </w:pPr>
            <w:r>
              <w:rPr>
                <w:rFonts w:ascii="Times New Roman" w:hAnsi="Times New Roman" w:eastAsia="仿宋_GB2312" w:cs="Times New Roman"/>
                <w:color w:val="000000"/>
                <w:kern w:val="0"/>
                <w:sz w:val="28"/>
                <w:szCs w:val="28"/>
              </w:rPr>
              <w:t xml:space="preserve"> </w:t>
            </w:r>
            <w:r>
              <w:rPr>
                <w:rFonts w:ascii="Times New Roman" w:hAnsi="Times New Roman" w:eastAsia="仿宋_GB2312" w:cs="Times New Roman"/>
                <w:color w:val="000000"/>
                <w:sz w:val="28"/>
                <w:szCs w:val="28"/>
              </w:rPr>
              <w:t>1.仅提供近三年东莞市土壤和地下水污染防治工作方案，未提供东城街道配套的工作方案和工作总结。</w:t>
            </w:r>
          </w:p>
          <w:p>
            <w:pPr>
              <w:snapToGrid w:val="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2.情况说明提及，近三年我街道在安全利用类耕地上严禁种植粮食作物;并根据市农业农村局指导意见，在该地上种植蔬菜以作为土壤调理措施，改善土壤。补充相应的材料。</w:t>
            </w:r>
          </w:p>
          <w:p>
            <w:pPr>
              <w:snapToGrid w:val="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3.情况说明提及，该项工作由市农业农村局统筹开展，且相关工作文件涉密，只有土壤状况的调研结果涉密，关于“落实品种替代、水肥调控、土壤调理等农艺措施”不涉密，应补充开展相关工作的材料。</w:t>
            </w:r>
          </w:p>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sz w:val="28"/>
                <w:szCs w:val="28"/>
              </w:rPr>
              <w:t>4.未提供东城街道无严格管控类耕地的证明材料。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jc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3</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（8）食品安全风险监测结果通报、会商、报告机制健全并有效运行，得1分；否则扣0.5分/项。</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0.1</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sz w:val="28"/>
                <w:szCs w:val="28"/>
              </w:rPr>
              <w:t>未提供近三年食品安全风险监测结果会商的相关佐证材料；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jc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4</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9）食源性疾病监测、食品污染物和有害因素监测网络覆盖全部县级行政区域并延伸至乡镇，得0.5分；未延伸至乡镇，不得分。食源性疾病监测医疗机构及时报送食源性疾病事件和病例，得0.5分；未按规定及时有效报送，每发现一起，扣0.1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0.1</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sz w:val="28"/>
                <w:szCs w:val="28"/>
              </w:rPr>
            </w:pPr>
            <w:r>
              <w:rPr>
                <w:rFonts w:ascii="Times New Roman" w:hAnsi="Times New Roman" w:eastAsia="仿宋_GB2312" w:cs="Times New Roman"/>
                <w:color w:val="000000"/>
                <w:kern w:val="0"/>
                <w:sz w:val="28"/>
                <w:szCs w:val="28"/>
              </w:rPr>
              <w:t>未提供东莞市级食品污染物和有害因素监测、食源性疾病事件和病例监测方案、分析报告外，建议提供东城街道相关材料；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jc w:val="center"/>
              <w:rPr>
                <w:rFonts w:ascii="Times New Roman" w:hAnsi="Times New Roman" w:eastAsia="仿宋_GB2312" w:cs="Times New Roman"/>
                <w:b/>
                <w:sz w:val="24"/>
                <w:szCs w:val="24"/>
                <w:highlight w:val="yellow"/>
              </w:rPr>
            </w:pPr>
            <w:r>
              <w:rPr>
                <w:rFonts w:ascii="Times New Roman" w:hAnsi="Times New Roman" w:eastAsia="仿宋_GB2312" w:cs="Times New Roman"/>
                <w:b/>
                <w:sz w:val="24"/>
                <w:szCs w:val="24"/>
              </w:rPr>
              <w:t>5</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（12）加强农业投入品监管。</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1.加强农药监管：建立农药生产经营主体监管名录，辖区内农药经营企业（单位）100%建立、落实农药经营台账制度，100%落实限制使用农药定点经营、实名购买、市场准入等相关制度，落实农药包装废弃物回收处理制度，▲创建城市至少建设两家农药减量增效行动示范场，得2分；否则扣0.5分/项。</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2.加强兽药监管：建立兽药生产经营主体监管名录，推行兽药良好生产经营规范，▲创建城市至少建设畜禽养殖场兽用抗菌药减量行动示范场、水产养殖用药减量行动示范场各2家，得1分；否则扣0.5分/项。</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3.加强饲料监管：建立饲料及饲料添加剂生产经营主体监管名录，开展对养殖环节自配料监管，得1分；否则扣0.5分/项。</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sz w:val="28"/>
                <w:szCs w:val="28"/>
              </w:rPr>
            </w:pPr>
            <w:r>
              <w:rPr>
                <w:rFonts w:ascii="Times New Roman" w:hAnsi="Times New Roman" w:eastAsia="仿宋_GB2312" w:cs="Times New Roman"/>
                <w:color w:val="000000"/>
                <w:kern w:val="0"/>
                <w:sz w:val="28"/>
                <w:szCs w:val="28"/>
              </w:rPr>
              <w:t>1.未提供东城街道制订或代表性农资经营企业农药经营台账、限制性农药实名购买等制度。</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2.只有限制性农药才需实名购买，“（2）实名制购买宣传工作照片”中提供的照片显示相关单位对制度不熟悉，示提供限制性农药销售的纸质</w:t>
            </w:r>
            <w:r>
              <w:rPr>
                <w:rFonts w:hint="eastAsia" w:ascii="Times New Roman" w:hAnsi="Times New Roman" w:eastAsia="仿宋_GB2312" w:cs="Times New Roman"/>
                <w:color w:val="000000"/>
                <w:kern w:val="0"/>
                <w:sz w:val="28"/>
                <w:szCs w:val="28"/>
                <w:lang w:eastAsia="zh-CN"/>
              </w:rPr>
              <w:t>台账</w:t>
            </w:r>
            <w:r>
              <w:rPr>
                <w:rFonts w:ascii="Times New Roman" w:hAnsi="Times New Roman" w:eastAsia="仿宋_GB2312" w:cs="Times New Roman"/>
                <w:color w:val="000000"/>
                <w:kern w:val="0"/>
                <w:sz w:val="28"/>
                <w:szCs w:val="28"/>
              </w:rPr>
              <w:t>，登记有购买人姓名、身份证、联系电话和用途等。</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3.未提供东城街道关于农药包装废弃物回收处理制度。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jc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6</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（13）落实农产品生产经营主体责任。</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1.建立农产品生产企业、农民专业合作经济组织等生产主体名录，对纳入监管名录的农产品生产主体的责任告知率、培训率达100%，农产品生产企业或农民专业合作经济组织落实生产记录制度，对销售的农产品开展自检或委托检验，实施质量承诺、开展从业人员培训，得2分；否则相应扣分。</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2.农产品生产主体严格执行禁限用兽药管理和农兽药休药期（安全间隔期）等规定，得1分；否则相应扣分。</w:t>
            </w:r>
            <w:bookmarkStart w:id="7" w:name="_GoBack"/>
            <w:bookmarkEnd w:id="7"/>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3.区域内80%以上的生产经营主体（指经注册登记的农业企业、农民专业合作社）及其产品实行追溯管理，得1分；否则扣0.5分/项。</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kern w:val="0"/>
                <w:sz w:val="28"/>
                <w:szCs w:val="28"/>
              </w:rPr>
              <w:t>东莞市胜田生态农业科技有限公司未落实农业投入品购买经营台账制度，未提供部分投入品供应商资质及合格证明，未记录2021年投入品使用情况，投入品采购记录台账销售单位与销售单信息不一致；未提供休药期制度，饲料使用</w:t>
            </w:r>
            <w:r>
              <w:rPr>
                <w:rFonts w:hint="eastAsia" w:ascii="Times New Roman" w:hAnsi="Times New Roman" w:eastAsia="仿宋_GB2312" w:cs="Times New Roman"/>
                <w:kern w:val="0"/>
                <w:sz w:val="28"/>
                <w:szCs w:val="28"/>
                <w:lang w:eastAsia="zh-CN"/>
              </w:rPr>
              <w:t>台账</w:t>
            </w:r>
            <w:r>
              <w:rPr>
                <w:rFonts w:ascii="Times New Roman" w:hAnsi="Times New Roman" w:eastAsia="仿宋_GB2312" w:cs="Times New Roman"/>
                <w:kern w:val="0"/>
                <w:sz w:val="28"/>
                <w:szCs w:val="28"/>
              </w:rPr>
              <w:t>填写不规范，大蒜素不符合安全间隔期规定（休药期规定为20天，</w:t>
            </w:r>
            <w:r>
              <w:rPr>
                <w:rFonts w:hint="eastAsia" w:ascii="Times New Roman" w:hAnsi="Times New Roman" w:eastAsia="仿宋_GB2312" w:cs="Times New Roman"/>
                <w:kern w:val="0"/>
                <w:sz w:val="28"/>
                <w:szCs w:val="28"/>
                <w:lang w:eastAsia="zh-CN"/>
              </w:rPr>
              <w:t>台账</w:t>
            </w:r>
            <w:r>
              <w:rPr>
                <w:rFonts w:ascii="Times New Roman" w:hAnsi="Times New Roman" w:eastAsia="仿宋_GB2312" w:cs="Times New Roman"/>
                <w:kern w:val="0"/>
                <w:sz w:val="28"/>
                <w:szCs w:val="28"/>
              </w:rPr>
              <w:t>记录为15天）。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jc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7</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（16）建立病死畜禽及不合格农产品无害化处理机制并有效落实，病死畜禽无害化处理率达到100%，得2分；否则相应扣分。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0.3</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sz w:val="28"/>
                <w:szCs w:val="28"/>
              </w:rPr>
            </w:pPr>
            <w:r>
              <w:rPr>
                <w:rFonts w:ascii="Times New Roman" w:hAnsi="Times New Roman" w:eastAsia="仿宋_GB2312" w:cs="Times New Roman"/>
                <w:color w:val="000000"/>
                <w:kern w:val="0"/>
                <w:sz w:val="28"/>
                <w:szCs w:val="28"/>
              </w:rPr>
              <w:t>1.提供的“病死禽畜无害化处理专项行动方案”未加盖公章。</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2.未提供“病死禽畜无害化处理专项行动方案”对应的总结材料。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8</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（17）政策性粮食收储企业严格执行国家粮食质量标准和食品安全标准，严把政策性粮食收购、储存、销售出库质量安全关，得1分；否则相应扣分。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0.3</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kern w:val="0"/>
                <w:sz w:val="28"/>
                <w:szCs w:val="28"/>
              </w:rPr>
              <w:t>东莞市东城粮所政策性粮食入库未及时进行每批次必检重金属镉要求；未提供部分检测原始记录，无法核实检验结果。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9</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(20)对食品生产经营者全面实行食品安全风险分级动态管理，在日常监督检查全覆盖基础上，对一般风险生产企业实施按比例“双随机”抽查，对高风险企业实施重点检查，对问题线索企业实施飞行检查，督促企业生产经营过程持续合规，得2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0.5</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东城街道是按创建县级的要求执行，应该在检查计划中包含食品生产企业的监督检查，如果东城街道情况特殊，可以在镇街监督检查计划上注明生产环节按《东莞市市场监督管理局2022年食品生产监督检查计划》规定市局食品生产科负责对全市食品生产企业实施监督检查，同时镇街的计划应要包含进口冷链食品生产企业疫情防控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10</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（22）持续加大湿粉类企业及乳制品、肉制品、白酒、食用植物油等大型食品生产企业风险防控力度，得1分；否则相应扣分。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0.3</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sz w:val="28"/>
                <w:szCs w:val="28"/>
              </w:rPr>
              <w:t>未提供肉制品、白酒、食用植物油的专项整治的方案，无法佐证相关专项行动的开展。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218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11</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（23）贯彻落实《学校食品安全与营养健康管理规定》及国家有关部委、省级有关部门配套文件，落实监管部门、学校、食堂等各方责任，校园食品安全春秋两季开学检查覆盖率达到100%，得2分；否则相应扣分。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0.6</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color w:val="000000"/>
                <w:sz w:val="28"/>
                <w:szCs w:val="28"/>
                <w:highlight w:val="yellow"/>
              </w:rPr>
            </w:pPr>
            <w:r>
              <w:rPr>
                <w:rFonts w:ascii="Times New Roman" w:hAnsi="Times New Roman" w:eastAsia="仿宋_GB2312" w:cs="Times New Roman"/>
                <w:color w:val="000000"/>
                <w:kern w:val="0"/>
                <w:sz w:val="28"/>
                <w:szCs w:val="28"/>
              </w:rPr>
              <w:t>1.东莞市东城金色未来幼儿园食堂自查制度落实不到位，长时间检查均位发现问题。</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2.东莞市第一中学食堂公示栏公示的信息检查记录没有及时更新，不是最近检查记录。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900"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sz w:val="24"/>
                <w:szCs w:val="24"/>
              </w:rPr>
            </w:pPr>
            <w:r>
              <w:rPr>
                <w:rFonts w:ascii="Times New Roman" w:hAnsi="Times New Roman" w:eastAsia="仿宋_GB2312" w:cs="Times New Roman"/>
                <w:b/>
                <w:sz w:val="24"/>
                <w:szCs w:val="24"/>
              </w:rPr>
              <w:t>12</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24）按计划要求均衡推进完成食品抽检任务，确保“时间过半、任务过半”，监督抽检计划和评价性抽检计划完成率达到100%，得0.5分；否则不得分。监督抽检不合格发现率不低于当年全省平均水平，得0.5分；否则不得分。抽检不合格食品核查处置完成率达到100%，得0.5分；否则不得分。依法依规向社会公开监督抽检结果及不合格食品核查处置情况，得0.5分；否则不得分。对年度抽检数据进行分析，形成分析报告，同时对发现的问题提出针对性整改措施，形成长效机制，得1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0.5</w:t>
            </w:r>
          </w:p>
        </w:tc>
        <w:tc>
          <w:tcPr>
            <w:tcW w:w="7420" w:type="dxa"/>
            <w:tcMar>
              <w:top w:w="10" w:type="dxa"/>
              <w:left w:w="10" w:type="dxa"/>
              <w:right w:w="10" w:type="dxa"/>
            </w:tcMar>
            <w:vAlign w:val="center"/>
          </w:tcPr>
          <w:p>
            <w:pPr>
              <w:snapToGrid w:val="0"/>
              <w:spacing w:line="10" w:lineRule="atLeast"/>
              <w:rPr>
                <w:rFonts w:ascii="Times New Roman" w:hAnsi="Times New Roman" w:eastAsia="仿宋_GB2312" w:cs="Times New Roman"/>
                <w:sz w:val="28"/>
                <w:szCs w:val="28"/>
              </w:rPr>
            </w:pPr>
            <w:r>
              <w:rPr>
                <w:rFonts w:ascii="Times New Roman" w:hAnsi="Times New Roman" w:eastAsia="仿宋_GB2312" w:cs="Times New Roman"/>
                <w:sz w:val="28"/>
                <w:szCs w:val="28"/>
              </w:rPr>
              <w:t>1.未提供近三年食品抽检方案。</w:t>
            </w:r>
          </w:p>
          <w:p>
            <w:pPr>
              <w:snapToGrid w:val="0"/>
              <w:spacing w:line="10" w:lineRule="atLeast"/>
              <w:rPr>
                <w:rFonts w:ascii="Times New Roman" w:hAnsi="Times New Roman" w:eastAsia="仿宋_GB2312" w:cs="Times New Roman"/>
                <w:sz w:val="28"/>
                <w:szCs w:val="28"/>
              </w:rPr>
            </w:pPr>
            <w:r>
              <w:rPr>
                <w:rFonts w:ascii="Times New Roman" w:hAnsi="Times New Roman" w:eastAsia="仿宋_GB2312" w:cs="Times New Roman"/>
                <w:sz w:val="28"/>
                <w:szCs w:val="28"/>
              </w:rPr>
              <w:t>2.分析报告、关于2022年危害食品安全的行业共性隐患问题专项整治阶段性工作总结未盖章。</w:t>
            </w:r>
          </w:p>
          <w:p>
            <w:pPr>
              <w:widowControl/>
              <w:jc w:val="left"/>
              <w:textAlignment w:val="center"/>
              <w:rPr>
                <w:rFonts w:ascii="Times New Roman" w:hAnsi="Times New Roman" w:eastAsia="仿宋_GB2312" w:cs="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98"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sz w:val="24"/>
                <w:szCs w:val="24"/>
              </w:rPr>
            </w:pPr>
            <w:r>
              <w:rPr>
                <w:rFonts w:ascii="Times New Roman" w:hAnsi="Times New Roman" w:eastAsia="仿宋_GB2312" w:cs="Times New Roman"/>
                <w:b/>
                <w:color w:val="000000"/>
                <w:kern w:val="0"/>
                <w:sz w:val="28"/>
                <w:szCs w:val="28"/>
              </w:rPr>
              <w:t>13</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(26)有力推进国家有关部委、省级有关部门部署的食品安全案件查办行动，有方案、有部署、有总结，加强宣传，定期公布典型案例，展示查办成效，得1分；否则相应扣分。食品安全违法案件立案率（含不立案办结）和办结率达到100%，立案和结案应当遵守法定程序，并在法定时限内完成，得2分；否则相应扣分。无程序违法、越权执法、不作为等问题被行政复议、行政诉讼确认违法的食品安全行政处罚案件，得1分；否则相应扣分。（无程序违法包括立案和结案应当遵守法定程序，并在法定时限内完成）</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0.5</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sz w:val="28"/>
                <w:szCs w:val="28"/>
              </w:rPr>
            </w:pPr>
            <w:r>
              <w:rPr>
                <w:rFonts w:ascii="Times New Roman" w:hAnsi="Times New Roman" w:eastAsia="仿宋_GB2312" w:cs="Times New Roman"/>
                <w:color w:val="000000"/>
                <w:kern w:val="0"/>
                <w:sz w:val="28"/>
                <w:szCs w:val="28"/>
              </w:rPr>
              <w:t>违法案件汇总表无立案时间，不能佐证是否在法定时间内完成。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sz w:val="24"/>
                <w:szCs w:val="24"/>
              </w:rPr>
            </w:pPr>
            <w:r>
              <w:rPr>
                <w:rFonts w:ascii="Times New Roman" w:hAnsi="Times New Roman" w:eastAsia="仿宋_GB2312" w:cs="Times New Roman"/>
                <w:b/>
                <w:color w:val="000000"/>
                <w:kern w:val="0"/>
                <w:sz w:val="28"/>
                <w:szCs w:val="28"/>
              </w:rPr>
              <w:t>14</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(27)行政执法与刑事司法衔接机制有效运行，涉案物品检验与认定、信息通报、线索核查和处置等工作落实到位，得2分；否则相应扣分。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0.2</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未提供公安部门对不予立案的移送案件的复函。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27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color w:val="000000"/>
                <w:kern w:val="0"/>
                <w:sz w:val="28"/>
                <w:szCs w:val="28"/>
              </w:rPr>
              <w:t>15</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kern w:val="0"/>
                <w:sz w:val="28"/>
                <w:szCs w:val="28"/>
              </w:rPr>
            </w:pPr>
            <w:r>
              <w:rPr>
                <w:rFonts w:ascii="Times New Roman" w:hAnsi="Times New Roman" w:eastAsia="仿宋_GB2312" w:cs="Times New Roman"/>
                <w:color w:val="000000"/>
                <w:kern w:val="0"/>
                <w:sz w:val="28"/>
                <w:szCs w:val="28"/>
              </w:rPr>
              <w:t>(28)严厉打击食品走私等违法行为，严控走私冻品、活体动物等流入省内市场，对查获的走私冻品依法依规进行处置，得2分；否则相应扣分。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0.2</w:t>
            </w:r>
          </w:p>
        </w:tc>
        <w:tc>
          <w:tcPr>
            <w:tcW w:w="7420"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未提供市场监管部门查处进口冻品专项行动文件。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277"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kern w:val="0"/>
                <w:sz w:val="24"/>
                <w:szCs w:val="24"/>
              </w:rPr>
            </w:pPr>
            <w:r>
              <w:rPr>
                <w:rFonts w:ascii="Times New Roman" w:hAnsi="Times New Roman" w:eastAsia="仿宋_GB2312" w:cs="Times New Roman"/>
                <w:b/>
                <w:color w:val="000000"/>
                <w:kern w:val="0"/>
                <w:sz w:val="28"/>
                <w:szCs w:val="28"/>
              </w:rPr>
              <w:t>16</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b/>
                <w:bCs/>
                <w:sz w:val="28"/>
                <w:szCs w:val="28"/>
              </w:rPr>
            </w:pPr>
            <w:r>
              <w:rPr>
                <w:rFonts w:ascii="Times New Roman" w:hAnsi="Times New Roman" w:eastAsia="仿宋_GB2312" w:cs="Times New Roman"/>
                <w:color w:val="000000"/>
                <w:kern w:val="0"/>
                <w:sz w:val="28"/>
                <w:szCs w:val="28"/>
              </w:rPr>
              <w:t>(30)集中整治网络餐饮安全，农村假冒伪劣食品，非法添加，农兽药残留超标，保健食品行业违法生产经营和营销、欺诈误导消费，未成年人食品安全监管等群众关注的突出问题，取得显著成效</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0.5</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未提供东城保护未成年人行动方案、总结文件。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sz w:val="24"/>
                <w:szCs w:val="24"/>
              </w:rPr>
            </w:pPr>
            <w:r>
              <w:rPr>
                <w:rFonts w:ascii="Times New Roman" w:hAnsi="Times New Roman" w:eastAsia="仿宋_GB2312" w:cs="Times New Roman"/>
                <w:b/>
                <w:color w:val="000000"/>
                <w:kern w:val="0"/>
                <w:sz w:val="28"/>
                <w:szCs w:val="28"/>
              </w:rPr>
              <w:t>17</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(33)贯彻落实粤食安办〔2019〕22号文各项措施要求，持续加强食品安全法律法规、国家标准、科学知识的宣传教育等，倡导健康的饮食方式，增强消费者食品安全意识和自我保护能力，得1分；否则相应扣分。食品安全知识知晓率90%以上，得0.5分；否则不得分。持续开展“食品安全宣传周”活动，得0.5分；否则不得分。开展校园食品安全和营养教育，得0.5分；否则相应扣分。积极普及防控高风险食品与有毒野生动植物中毒知识（如湿粉类、河豚鱼、断肠草、毒蘑菇等）和防范食品、保健食品虚假宣传常识等，得0.5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1</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1.“33.1食品安全法律法规、国家标准、科学知识宣传的工作方案、宣贯培训”文件夹中，对创建以来的食品安全法规等科普知识的宣传工作做总结。</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w:t>
            </w:r>
            <w:r>
              <w:rPr>
                <w:rFonts w:hint="eastAsia" w:ascii="Times New Roman" w:hAnsi="Times New Roman" w:eastAsia="仿宋_GB2312" w:cs="Times New Roman"/>
                <w:color w:val="000000"/>
                <w:kern w:val="0"/>
                <w:sz w:val="28"/>
                <w:szCs w:val="28"/>
              </w:rPr>
              <w:t>“</w:t>
            </w:r>
            <w:r>
              <w:rPr>
                <w:rFonts w:ascii="Times New Roman" w:hAnsi="Times New Roman" w:eastAsia="仿宋_GB2312" w:cs="Times New Roman"/>
                <w:color w:val="000000"/>
                <w:kern w:val="0"/>
                <w:sz w:val="28"/>
                <w:szCs w:val="28"/>
              </w:rPr>
              <w:t>33.4开展普及防控高风险食品与有毒野生动植物、中毒知识等佐证材料（毒蘑菇、湿粉等）”文件夹以图片为主，无文字说明或工作总结。</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3.东莞市东城金桥水产市场服务管理有限公司未开展食品安全宣传教育。</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4.广东永辉超市有限公司东莞东城万达店未张贴食品安全相关宣传资料。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sz w:val="24"/>
                <w:szCs w:val="24"/>
              </w:rPr>
            </w:pPr>
            <w:r>
              <w:rPr>
                <w:rFonts w:ascii="Times New Roman" w:hAnsi="Times New Roman" w:eastAsia="仿宋_GB2312" w:cs="Times New Roman"/>
                <w:b/>
                <w:color w:val="000000"/>
                <w:kern w:val="0"/>
                <w:sz w:val="28"/>
                <w:szCs w:val="28"/>
              </w:rPr>
              <w:t>18</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34）畅通食品安全投诉举报渠道，工作时间内12315热线接通率达到90%以上，得0.3分；否则不得分。完成市场监管投诉举报线上线下一体化，得0.4分；否则不得分。统一应用全国12315平台处理食品类投诉举报业务，食品类消费投诉按时办结率98%以上，得0.4分；否则不得分。充分发挥人大代表、政协委员及社会各界力量，根据当地食品安全问题，开展对政府及其监管部门履职尽责和企业主体责任落实情况进行监督，得0.4分，否则不得分。对食品类投诉举报进行总结分析，梳理主要风险隐患，对应提出监管措施，有针对性加强食品安全监管，得1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1</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1.近三年投诉、举报汇总表均无办结日期，无法佐证按时办结。</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2.提供的是2020年至2022年（题目是2020年至2020年）分析报告过于简单笼统，无业态、类别等占比分析，无梳理出突出问题及对应监管措施。(另附的食品安全共性隐患问题及整治措施清单应与分析报告相对应）。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19</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highlight w:val="yellow"/>
              </w:rPr>
            </w:pPr>
            <w:r>
              <w:rPr>
                <w:rFonts w:hint="eastAsia" w:ascii="Times New Roman" w:hAnsi="Times New Roman" w:eastAsia="仿宋_GB2312" w:cs="Times New Roman"/>
                <w:color w:val="000000"/>
                <w:kern w:val="0"/>
                <w:sz w:val="28"/>
                <w:szCs w:val="28"/>
              </w:rPr>
              <w:t>（38）</w:t>
            </w:r>
            <w:r>
              <w:rPr>
                <w:rFonts w:ascii="Times New Roman" w:hAnsi="Times New Roman" w:eastAsia="仿宋_GB2312" w:cs="Times New Roman"/>
                <w:color w:val="000000"/>
                <w:kern w:val="0"/>
                <w:sz w:val="28"/>
                <w:szCs w:val="28"/>
              </w:rPr>
              <w:t>县级市场监管部门及其派出机构将食品安全监管作为首要职责，监管力量满足食品安全监管需要，得 2 分；否则相应扣分。从事食品安全监管人员的专业化比例达到 70%以上，得 2 分，少 1%扣 0.1 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1</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highlight w:val="yellow"/>
              </w:rPr>
            </w:pPr>
            <w:r>
              <w:rPr>
                <w:rFonts w:ascii="Times New Roman" w:hAnsi="Times New Roman" w:eastAsia="仿宋_GB2312" w:cs="Times New Roman"/>
                <w:color w:val="000000"/>
                <w:kern w:val="0"/>
                <w:sz w:val="28"/>
                <w:szCs w:val="28"/>
              </w:rPr>
              <w:t>所提供的食品安全监管人员名单逐年减少，不能体现监管力量满足需要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20</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hint="eastAsia" w:ascii="Times New Roman" w:hAnsi="Times New Roman" w:eastAsia="仿宋_GB2312" w:cs="Times New Roman"/>
                <w:color w:val="000000"/>
                <w:kern w:val="0"/>
                <w:sz w:val="28"/>
                <w:szCs w:val="28"/>
              </w:rPr>
              <w:t>（39）</w:t>
            </w:r>
            <w:r>
              <w:rPr>
                <w:rFonts w:ascii="Times New Roman" w:hAnsi="Times New Roman" w:eastAsia="仿宋_GB2312" w:cs="Times New Roman"/>
                <w:color w:val="000000"/>
                <w:kern w:val="0"/>
                <w:sz w:val="28"/>
                <w:szCs w:val="28"/>
              </w:rPr>
              <w:t>加大公安机关打击食品安全犯罪专业力量、专业装备建设力度，明确机构和人员负责打击食品安全犯罪，强化办案保障，得 2 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0.5</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1.未提供明确打击食品安全犯罪职责的文件。</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2.培训通知无红头无盖章，无参加其他培训班的回执等。</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3.无专业装备建设等保障措施的佐证。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21</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（41）根据省级抽检当年度任务要求，食品抽检量达到相应批次数，得 3 分；否则不</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得分。种植业产品、畜禽产品、水产品例行监测合格率在全省平均线以上，得 1 分；否则不得分。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0.2</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未提供畜禽产品例行监测合格率在全省平均线以上的资料。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22</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（46）创建县每年与专业技术团队建立合作关系，在食品安全检测、风险评估和分析研判和标准制订方面获得强有力技术支持，并且有实际工作成效，得3分；否则相应扣分。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0.5</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提供了与广东省东莞市质量监督检测中心、无锡中德伯尔生物技术有限公司等公司合作开展食品和食用农产品抽检的合同，补充第三方公司每年的抽检工作总结和食品抽检质量分析报告，体现进行风险评估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23</w:t>
            </w:r>
          </w:p>
        </w:tc>
        <w:tc>
          <w:tcPr>
            <w:tcW w:w="5953" w:type="dxa"/>
            <w:tcMar>
              <w:top w:w="10" w:type="dxa"/>
              <w:left w:w="10" w:type="dxa"/>
              <w:right w:w="10" w:type="dxa"/>
            </w:tcMar>
            <w:vAlign w:val="center"/>
          </w:tcPr>
          <w:p>
            <w:pPr>
              <w:widowControl/>
              <w:textAlignment w:val="center"/>
              <w:rPr>
                <w:rFonts w:ascii="Times New Roman" w:hAnsi="Times New Roman" w:eastAsia="仿宋_GB2312" w:cs="Times New Roman"/>
                <w:color w:val="000000"/>
                <w:kern w:val="0"/>
                <w:sz w:val="28"/>
                <w:szCs w:val="28"/>
              </w:rPr>
            </w:pPr>
            <w:r>
              <w:rPr>
                <w:rFonts w:hint="eastAsia" w:ascii="Times New Roman" w:hAnsi="Times New Roman" w:eastAsia="仿宋_GB2312" w:cs="Times New Roman"/>
                <w:color w:val="000000"/>
                <w:kern w:val="0"/>
                <w:sz w:val="28"/>
                <w:szCs w:val="28"/>
              </w:rPr>
              <w:t>（48）</w:t>
            </w:r>
            <w:r>
              <w:rPr>
                <w:rFonts w:ascii="Times New Roman" w:hAnsi="Times New Roman" w:eastAsia="仿宋_GB2312" w:cs="Times New Roman"/>
                <w:color w:val="000000"/>
                <w:kern w:val="0"/>
                <w:sz w:val="28"/>
                <w:szCs w:val="28"/>
              </w:rPr>
              <w:t>食品生产经营者严格落实食品安全法律法规及规章制度，建立健全食品安全管理制度，加强生产经营过程控制，建立食品安全追溯体系，食品安全主体责任有效落实的，得30分；否则相应扣分。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1.5</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东莞市太钟东海饮食有限公司的单位负责人、食品安全管理人员每人每年接受有资质的第三方培训机构的食品安全培训时间少于40小时。食品添加剂使用登记表、消毒记录表、留样记录表等数据表与实际不相符，过于形式。</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2.广州太二餐饮连锁有限公司东莞市东城国贸店的保洁柜存在损坏情况，没有做到密闭存放功能，公示栏没有在进店后明显的地方摆放公示。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110"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24</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49）辖区食品安全状况与创建前（或上一次评价验收）相比有明显提升，包括食品安全风险管理能力明显提升，农药兽药残留超标、非法添加等食品安全问题得到有效遏制，企业主体责任意识明显增强，食品安全状况持续向好，打击食品安全违法犯罪效果显著，有力警示整个行业规范发展，社会共治积极发挥，共治共享格局进一步深入人心等，得8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1.5</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1.东莞市东城肉菜市场管理有限公司未定期对从业人员及食品安全管理人员开展足量食品安全培训。扣0.5分</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2.东莞市凯锐包装制品有限公司未开展诚信守法教育活动，无相关材料；加工场所内地面未保持清洁。扣0.5分</w:t>
            </w:r>
            <w:r>
              <w:rPr>
                <w:rFonts w:ascii="Times New Roman" w:hAnsi="Times New Roman" w:eastAsia="仿宋_GB2312" w:cs="Times New Roman"/>
                <w:color w:val="000000"/>
                <w:kern w:val="0"/>
                <w:sz w:val="28"/>
                <w:szCs w:val="28"/>
              </w:rPr>
              <w:br/>
            </w:r>
            <w:r>
              <w:rPr>
                <w:rFonts w:hint="eastAsia" w:ascii="Times New Roman" w:hAnsi="Times New Roman" w:eastAsia="仿宋_GB2312" w:cs="Times New Roman"/>
                <w:color w:val="000000"/>
                <w:kern w:val="0"/>
                <w:sz w:val="28"/>
                <w:szCs w:val="28"/>
              </w:rPr>
              <w:t>3</w:t>
            </w:r>
            <w:r>
              <w:rPr>
                <w:rFonts w:ascii="Times New Roman" w:hAnsi="Times New Roman" w:eastAsia="仿宋_GB2312" w:cs="Times New Roman"/>
                <w:color w:val="000000"/>
                <w:kern w:val="0"/>
                <w:sz w:val="28"/>
                <w:szCs w:val="28"/>
              </w:rPr>
              <w:t>.东莞市东城吴宗军食品加工店、东莞市东城周克清食品加工店环境卫生差。扣0.5分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25</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52）健全食品安全信用监管制度和工作机制，得0.5分；否则不得分。在国家企业信用信息公示系统对食品生产经营企业进行标注，得0.5分；发现1家企业未标注，扣0.1分。将食品生产经营者信用信息（食品生产经营许可、监督检查、监督抽检、行政处罚等）及时归集到企业名下，依法依规向社会公示食品生产经营企业相关信用信息，得3分；发现1家未全部归集信息或发现1家应予公示而未公示信用信息，扣0.1分。建立食品生产经营企业信用记录、信用档案，得1分；发现1家未建立信用档案，扣0.1分。创新信用监管方式方法和措施，强化食品安全信用信息运用，实施食品生产经营企业信用分类监管，建立食品生产经营企业信用风险分类专业模型，得2分；否则相应扣分。规范实施失信惩戒、信用修复等工作措施，推进事后全流程信用监管，得2分；否则相应扣分。通过信用监管有效举措，推动形成企业自治、行业自律、社会监督、政府监管的共治格局，着力解决食品安全监管领域的突出问题，得1分；否则相应扣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1.5</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1.食品生产经营企业在国家企业信用信息公示系统标注、归集及公示情况截图；</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2.食品生产经营者风险等级划分；</w:t>
            </w:r>
            <w:r>
              <w:rPr>
                <w:rFonts w:ascii="Times New Roman" w:hAnsi="Times New Roman" w:eastAsia="仿宋_GB2312" w:cs="Times New Roman"/>
                <w:color w:val="000000"/>
                <w:kern w:val="0"/>
                <w:sz w:val="28"/>
                <w:szCs w:val="28"/>
              </w:rPr>
              <w:br/>
            </w:r>
            <w:r>
              <w:rPr>
                <w:rFonts w:ascii="Times New Roman" w:hAnsi="Times New Roman" w:eastAsia="仿宋_GB2312" w:cs="Times New Roman"/>
                <w:color w:val="000000"/>
                <w:kern w:val="0"/>
                <w:sz w:val="28"/>
                <w:szCs w:val="28"/>
              </w:rPr>
              <w:t>3.失信惩戒及信用修复</w:t>
            </w:r>
            <w:r>
              <w:rPr>
                <w:rFonts w:hint="eastAsia" w:ascii="Times New Roman" w:hAnsi="Times New Roman" w:eastAsia="仿宋_GB2312" w:cs="Times New Roman"/>
                <w:color w:val="000000"/>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1633"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26</w:t>
            </w:r>
          </w:p>
        </w:tc>
        <w:tc>
          <w:tcPr>
            <w:tcW w:w="5953"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hint="eastAsia" w:ascii="Times New Roman" w:hAnsi="Times New Roman" w:eastAsia="仿宋_GB2312" w:cs="Times New Roman"/>
                <w:color w:val="000000"/>
                <w:kern w:val="0"/>
                <w:sz w:val="28"/>
                <w:szCs w:val="28"/>
              </w:rPr>
              <w:t>（56）</w:t>
            </w:r>
            <w:r>
              <w:rPr>
                <w:rFonts w:ascii="Times New Roman" w:hAnsi="Times New Roman" w:eastAsia="仿宋_GB2312" w:cs="Times New Roman"/>
                <w:color w:val="000000"/>
                <w:kern w:val="0"/>
                <w:sz w:val="28"/>
                <w:szCs w:val="28"/>
              </w:rPr>
              <w:t>加强“三小”（食品小作坊、食品摊贩、小餐饮）日常监管，明确监管事权，组织开展“三小”普查建档且实现全覆盖，加大对“三小”业主及其管理人员的培训力度，得1分；否则相应扣分。规范小作坊生产加工、过程管理，因地制宜对“三小”实施统一规划、集中管理、投入保障等支持帮扶措施，推进小作坊集中加工区建设，得1分；否则相应扣分。采取支持措施帮助“三小”改善生产经营环境、改进条件，支持措施覆盖面、“三小”改善比例达到80%以上（粤东西北75%以上），得1分；否则相应扣分。结合实际开展“三小”综合治理，经验做法具有复制推广价值，得2分；仅。在本地区适用，得1分；否则不得分。</w:t>
            </w: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w:t>
            </w:r>
          </w:p>
        </w:tc>
        <w:tc>
          <w:tcPr>
            <w:tcW w:w="7420" w:type="dxa"/>
            <w:tcMar>
              <w:top w:w="10" w:type="dxa"/>
              <w:left w:w="10" w:type="dxa"/>
              <w:right w:w="10" w:type="dxa"/>
            </w:tcMar>
            <w:vAlign w:val="center"/>
          </w:tcPr>
          <w:p>
            <w:pPr>
              <w:widowControl/>
              <w:jc w:val="left"/>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1.东莞市东城厝内小眷村奶茶店单位负责人、食品安全管理人员每人每年接受有资质的第三方培训机构的食品安全培训时间少于40小时；公示信息不全。</w:t>
            </w:r>
          </w:p>
          <w:p>
            <w:pPr>
              <w:pStyle w:val="2"/>
              <w:rPr>
                <w:rFonts w:ascii="Times New Roman" w:hAnsi="Times New Roman" w:eastAsia="仿宋_GB2312" w:cs="Times New Roman"/>
                <w:color w:val="000000"/>
                <w:kern w:val="0"/>
                <w:sz w:val="28"/>
                <w:szCs w:val="28"/>
              </w:rPr>
            </w:pPr>
            <w:r>
              <w:rPr>
                <w:rFonts w:hint="eastAsia" w:ascii="Times New Roman" w:hAnsi="Times New Roman" w:eastAsia="仿宋_GB2312" w:cs="Times New Roman"/>
                <w:color w:val="000000"/>
                <w:kern w:val="0"/>
                <w:sz w:val="28"/>
                <w:szCs w:val="28"/>
              </w:rPr>
              <w:t>2.</w:t>
            </w:r>
            <w:r>
              <w:rPr>
                <w:rFonts w:ascii="Times New Roman" w:hAnsi="Times New Roman" w:eastAsia="仿宋_GB2312" w:cs="Times New Roman"/>
                <w:color w:val="000000"/>
                <w:kern w:val="0"/>
                <w:sz w:val="28"/>
                <w:szCs w:val="28"/>
              </w:rPr>
              <w:t>东城无对食品摊贩实施统一规划、集中管理、投入保障等举措。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PrEx>
        <w:trPr>
          <w:trHeight w:val="881" w:hRule="atLeast"/>
          <w:jc w:val="center"/>
        </w:trPr>
        <w:tc>
          <w:tcPr>
            <w:tcW w:w="552" w:type="dxa"/>
            <w:tcMar>
              <w:top w:w="10" w:type="dxa"/>
              <w:left w:w="10" w:type="dxa"/>
              <w:right w:w="10" w:type="dxa"/>
            </w:tcMar>
            <w:vAlign w:val="center"/>
          </w:tcPr>
          <w:p>
            <w:pPr>
              <w:widowControl/>
              <w:jc w:val="center"/>
              <w:textAlignment w:val="center"/>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合计</w:t>
            </w:r>
          </w:p>
        </w:tc>
        <w:tc>
          <w:tcPr>
            <w:tcW w:w="5953" w:type="dxa"/>
            <w:tcMar>
              <w:top w:w="10" w:type="dxa"/>
              <w:left w:w="10" w:type="dxa"/>
              <w:right w:w="10" w:type="dxa"/>
            </w:tcMar>
            <w:vAlign w:val="center"/>
          </w:tcPr>
          <w:p>
            <w:pPr>
              <w:jc w:val="left"/>
              <w:rPr>
                <w:rFonts w:ascii="Times New Roman" w:hAnsi="Times New Roman" w:eastAsia="仿宋_GB2312" w:cs="Times New Roman"/>
                <w:color w:val="000000"/>
                <w:kern w:val="0"/>
                <w:sz w:val="28"/>
                <w:szCs w:val="28"/>
              </w:rPr>
            </w:pPr>
          </w:p>
        </w:tc>
        <w:tc>
          <w:tcPr>
            <w:tcW w:w="851" w:type="dxa"/>
            <w:tcMar>
              <w:top w:w="10" w:type="dxa"/>
              <w:left w:w="10" w:type="dxa"/>
              <w:right w:w="10" w:type="dxa"/>
            </w:tcMar>
            <w:vAlign w:val="center"/>
          </w:tcPr>
          <w:p>
            <w:pPr>
              <w:widowControl/>
              <w:jc w:val="center"/>
              <w:textAlignment w:val="center"/>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17.30</w:t>
            </w:r>
          </w:p>
        </w:tc>
        <w:tc>
          <w:tcPr>
            <w:tcW w:w="7420" w:type="dxa"/>
            <w:tcMar>
              <w:top w:w="10" w:type="dxa"/>
              <w:left w:w="10" w:type="dxa"/>
              <w:right w:w="10" w:type="dxa"/>
            </w:tcMar>
            <w:vAlign w:val="center"/>
          </w:tcPr>
          <w:p>
            <w:pPr>
              <w:rPr>
                <w:rFonts w:ascii="Times New Roman" w:hAnsi="Times New Roman" w:eastAsia="仿宋_GB2312" w:cs="Times New Roman"/>
                <w:color w:val="000000"/>
                <w:kern w:val="0"/>
                <w:sz w:val="28"/>
                <w:szCs w:val="28"/>
              </w:rPr>
            </w:pPr>
          </w:p>
        </w:tc>
      </w:tr>
    </w:tbl>
    <w:p>
      <w:pPr>
        <w:spacing w:line="600" w:lineRule="exact"/>
        <w:outlineLvl w:val="0"/>
        <w:rPr>
          <w:rFonts w:ascii="Times New Roman" w:hAnsi="Times New Roman" w:eastAsia="仿宋_GB2312" w:cs="Times New Roman"/>
          <w:sz w:val="32"/>
          <w:szCs w:val="29"/>
        </w:rPr>
        <w:sectPr>
          <w:pgSz w:w="16838" w:h="11906" w:orient="landscape"/>
          <w:pgMar w:top="1746" w:right="1157" w:bottom="1179" w:left="1157" w:header="851" w:footer="992" w:gutter="0"/>
          <w:cols w:space="0" w:num="1"/>
          <w:docGrid w:linePitch="451" w:charSpace="0"/>
        </w:sectPr>
      </w:pPr>
    </w:p>
    <w:bookmarkEnd w:id="6"/>
    <w:p>
      <w:pPr>
        <w:spacing w:line="600" w:lineRule="exact"/>
        <w:jc w:val="left"/>
        <w:rPr>
          <w:rFonts w:ascii="Times New Roman" w:hAnsi="Times New Roman" w:eastAsia="仿宋_GB2312" w:cs="Times New Roman"/>
          <w:sz w:val="32"/>
          <w:szCs w:val="32"/>
        </w:rPr>
      </w:pPr>
    </w:p>
    <w:sectPr>
      <w:footerReference r:id="rId6" w:type="default"/>
      <w:pgSz w:w="16838" w:h="11906" w:orient="landscape"/>
      <w:pgMar w:top="1417" w:right="720" w:bottom="720" w:left="720" w:header="794" w:footer="567" w:gutter="0"/>
      <w:cols w:space="0" w:num="1"/>
      <w:docGrid w:linePitch="45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center"/>
    </w:pPr>
    <w:r>
      <w:rPr>
        <w:rFonts w:ascii="Calibri" w:hAnsi="Calibri" w:eastAsia="宋体" w:cs="黑体"/>
        <w:kern w:val="2"/>
        <w:sz w:val="18"/>
        <w:szCs w:val="18"/>
        <w:lang w:val="en-US" w:eastAsia="zh-CN" w:bidi="ar-SA"/>
      </w:rPr>
      <w:pict>
        <v:shape id="文本框 1027"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8"/>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center"/>
    </w:pPr>
    <w:r>
      <w:rPr>
        <w:rFonts w:ascii="Calibri" w:hAnsi="Calibri" w:eastAsia="宋体" w:cs="黑体"/>
        <w:kern w:val="2"/>
        <w:sz w:val="18"/>
        <w:szCs w:val="18"/>
        <w:lang w:val="en-US" w:eastAsia="zh-CN" w:bidi="ar-SA"/>
      </w:rPr>
      <w:pict>
        <v:shape id="文本框 1028" o:spid="_x0000_s1026"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center"/>
    </w:pPr>
    <w:r>
      <w:rPr>
        <w:rFonts w:ascii="Calibri" w:hAnsi="Calibri" w:eastAsia="宋体" w:cs="黑体"/>
        <w:kern w:val="2"/>
        <w:sz w:val="18"/>
        <w:szCs w:val="18"/>
        <w:lang w:val="en-US" w:eastAsia="zh-CN" w:bidi="ar-SA"/>
      </w:rPr>
      <w:pict>
        <v:shape id="文本框 1029" o:spid="_x0000_s1027" type="#_x0000_t202" style="position:absolute;left:0;margin-top:0pt;height:144pt;width:144pt;mso-position-horizontal:outside;mso-position-horizontal-relative:margin;mso-wrap-style:none;rotation:0f;z-index:25166028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71239199">
    <w:nsid w:val="6F88D81F"/>
    <w:multiLevelType w:val="singleLevel"/>
    <w:tmpl w:val="6F88D81F"/>
    <w:lvl w:ilvl="0" w:tentative="1">
      <w:start w:val="1"/>
      <w:numFmt w:val="chineseCounting"/>
      <w:suff w:val="nothing"/>
      <w:lvlText w:val="%1、"/>
      <w:lvlJc w:val="left"/>
      <w:pPr>
        <w:ind w:left="0" w:firstLine="420"/>
      </w:pPr>
      <w:rPr>
        <w:rFonts w:hint="eastAsia"/>
      </w:rPr>
    </w:lvl>
  </w:abstractNum>
  <w:abstractNum w:abstractNumId="3577622027">
    <w:nsid w:val="D53E2E0B"/>
    <w:multiLevelType w:val="singleLevel"/>
    <w:tmpl w:val="D53E2E0B"/>
    <w:lvl w:ilvl="0" w:tentative="1">
      <w:start w:val="1"/>
      <w:numFmt w:val="chineseCounting"/>
      <w:suff w:val="nothing"/>
      <w:lvlText w:val="（%1）"/>
      <w:lvlJc w:val="left"/>
      <w:pPr>
        <w:ind w:left="0" w:firstLine="420"/>
      </w:pPr>
      <w:rPr>
        <w:rFonts w:hint="eastAsia"/>
      </w:rPr>
    </w:lvl>
  </w:abstractNum>
  <w:num w:numId="1">
    <w:abstractNumId w:val="1871239199"/>
  </w:num>
  <w:num w:numId="2">
    <w:abstractNumId w:val="35776220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451"/>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CF11D1"/>
    <w:rsid w:val="00001DBC"/>
    <w:rsid w:val="00024B98"/>
    <w:rsid w:val="00035289"/>
    <w:rsid w:val="00055436"/>
    <w:rsid w:val="000771F2"/>
    <w:rsid w:val="00090E9C"/>
    <w:rsid w:val="0009567D"/>
    <w:rsid w:val="000C0613"/>
    <w:rsid w:val="000D1CFC"/>
    <w:rsid w:val="000E2481"/>
    <w:rsid w:val="00106221"/>
    <w:rsid w:val="00112D22"/>
    <w:rsid w:val="001231A2"/>
    <w:rsid w:val="00127AD0"/>
    <w:rsid w:val="001432CE"/>
    <w:rsid w:val="001441D1"/>
    <w:rsid w:val="00156C2D"/>
    <w:rsid w:val="00185F61"/>
    <w:rsid w:val="001A20CC"/>
    <w:rsid w:val="001B5CDA"/>
    <w:rsid w:val="001C1180"/>
    <w:rsid w:val="001E7403"/>
    <w:rsid w:val="00226754"/>
    <w:rsid w:val="0023484F"/>
    <w:rsid w:val="0024532C"/>
    <w:rsid w:val="00284699"/>
    <w:rsid w:val="002A5056"/>
    <w:rsid w:val="002C0D7A"/>
    <w:rsid w:val="002C6A09"/>
    <w:rsid w:val="002E6C9C"/>
    <w:rsid w:val="002F00E7"/>
    <w:rsid w:val="00301793"/>
    <w:rsid w:val="003077DD"/>
    <w:rsid w:val="00323EB0"/>
    <w:rsid w:val="003A4A29"/>
    <w:rsid w:val="003C1513"/>
    <w:rsid w:val="003D52B0"/>
    <w:rsid w:val="003F1DA2"/>
    <w:rsid w:val="00434FD9"/>
    <w:rsid w:val="004609B1"/>
    <w:rsid w:val="0047476A"/>
    <w:rsid w:val="004A55A2"/>
    <w:rsid w:val="004C4EB1"/>
    <w:rsid w:val="004D5D74"/>
    <w:rsid w:val="004D759F"/>
    <w:rsid w:val="005075F4"/>
    <w:rsid w:val="00512D8E"/>
    <w:rsid w:val="005433B4"/>
    <w:rsid w:val="005519A7"/>
    <w:rsid w:val="0058124C"/>
    <w:rsid w:val="00582E98"/>
    <w:rsid w:val="00592B02"/>
    <w:rsid w:val="005A7F5F"/>
    <w:rsid w:val="005E0B14"/>
    <w:rsid w:val="00601D46"/>
    <w:rsid w:val="00602904"/>
    <w:rsid w:val="00656CE5"/>
    <w:rsid w:val="0068590A"/>
    <w:rsid w:val="006B6854"/>
    <w:rsid w:val="006C411E"/>
    <w:rsid w:val="006C5225"/>
    <w:rsid w:val="006D5C19"/>
    <w:rsid w:val="0071564E"/>
    <w:rsid w:val="007338A6"/>
    <w:rsid w:val="007531B9"/>
    <w:rsid w:val="00764A30"/>
    <w:rsid w:val="00764C3C"/>
    <w:rsid w:val="007C195A"/>
    <w:rsid w:val="007D5FEB"/>
    <w:rsid w:val="008436EE"/>
    <w:rsid w:val="00853A90"/>
    <w:rsid w:val="0086344A"/>
    <w:rsid w:val="008870E6"/>
    <w:rsid w:val="00891383"/>
    <w:rsid w:val="00893F8E"/>
    <w:rsid w:val="008B39E4"/>
    <w:rsid w:val="008C0B28"/>
    <w:rsid w:val="008E057B"/>
    <w:rsid w:val="009063BF"/>
    <w:rsid w:val="009368FF"/>
    <w:rsid w:val="00952C7E"/>
    <w:rsid w:val="009B0BE6"/>
    <w:rsid w:val="009B213A"/>
    <w:rsid w:val="009C1649"/>
    <w:rsid w:val="009C5370"/>
    <w:rsid w:val="009E39C6"/>
    <w:rsid w:val="009F0D04"/>
    <w:rsid w:val="00A0157B"/>
    <w:rsid w:val="00A04521"/>
    <w:rsid w:val="00A1005C"/>
    <w:rsid w:val="00A10C92"/>
    <w:rsid w:val="00A12DE7"/>
    <w:rsid w:val="00A16974"/>
    <w:rsid w:val="00A36B71"/>
    <w:rsid w:val="00A6320A"/>
    <w:rsid w:val="00A84A37"/>
    <w:rsid w:val="00A93D3E"/>
    <w:rsid w:val="00AC72FB"/>
    <w:rsid w:val="00AD0896"/>
    <w:rsid w:val="00AF5F7B"/>
    <w:rsid w:val="00B14F2B"/>
    <w:rsid w:val="00B33BBF"/>
    <w:rsid w:val="00B436BD"/>
    <w:rsid w:val="00B54A91"/>
    <w:rsid w:val="00B61231"/>
    <w:rsid w:val="00B768EB"/>
    <w:rsid w:val="00BA4DBF"/>
    <w:rsid w:val="00BA7585"/>
    <w:rsid w:val="00C021F6"/>
    <w:rsid w:val="00C221D7"/>
    <w:rsid w:val="00C250B0"/>
    <w:rsid w:val="00C4121C"/>
    <w:rsid w:val="00C62249"/>
    <w:rsid w:val="00CB5A3E"/>
    <w:rsid w:val="00CC40DA"/>
    <w:rsid w:val="00CC7536"/>
    <w:rsid w:val="00CF11D1"/>
    <w:rsid w:val="00CF3819"/>
    <w:rsid w:val="00D100C9"/>
    <w:rsid w:val="00D14DC8"/>
    <w:rsid w:val="00D45805"/>
    <w:rsid w:val="00D461E7"/>
    <w:rsid w:val="00D52766"/>
    <w:rsid w:val="00D563D6"/>
    <w:rsid w:val="00D63DB7"/>
    <w:rsid w:val="00D73EE2"/>
    <w:rsid w:val="00DB5665"/>
    <w:rsid w:val="00DC0750"/>
    <w:rsid w:val="00DC7B84"/>
    <w:rsid w:val="00DD62C9"/>
    <w:rsid w:val="00E001C4"/>
    <w:rsid w:val="00E04B3C"/>
    <w:rsid w:val="00E0619B"/>
    <w:rsid w:val="00E1773F"/>
    <w:rsid w:val="00E20611"/>
    <w:rsid w:val="00E4256B"/>
    <w:rsid w:val="00E443A3"/>
    <w:rsid w:val="00E5427C"/>
    <w:rsid w:val="00E5428F"/>
    <w:rsid w:val="00E57FA3"/>
    <w:rsid w:val="00E62777"/>
    <w:rsid w:val="00E92211"/>
    <w:rsid w:val="00EB2A0E"/>
    <w:rsid w:val="00EC055B"/>
    <w:rsid w:val="00ED377C"/>
    <w:rsid w:val="00ED53CC"/>
    <w:rsid w:val="00EF0427"/>
    <w:rsid w:val="00F00FF9"/>
    <w:rsid w:val="00F04E4E"/>
    <w:rsid w:val="00F311CE"/>
    <w:rsid w:val="00F37176"/>
    <w:rsid w:val="00F57A2D"/>
    <w:rsid w:val="00F63BDB"/>
    <w:rsid w:val="00F905B2"/>
    <w:rsid w:val="00FC1D84"/>
    <w:rsid w:val="00FC4499"/>
    <w:rsid w:val="00FD3ABB"/>
    <w:rsid w:val="00FD663D"/>
    <w:rsid w:val="060B7650"/>
    <w:rsid w:val="0A6C443B"/>
    <w:rsid w:val="0AA074EA"/>
    <w:rsid w:val="0BAA0CEC"/>
    <w:rsid w:val="10AE499F"/>
    <w:rsid w:val="16D327A9"/>
    <w:rsid w:val="221D6E38"/>
    <w:rsid w:val="32D41AA6"/>
    <w:rsid w:val="36F20959"/>
    <w:rsid w:val="37720F13"/>
    <w:rsid w:val="39D96EAC"/>
    <w:rsid w:val="3A10747F"/>
    <w:rsid w:val="40C52F2E"/>
    <w:rsid w:val="483236B6"/>
    <w:rsid w:val="48B2765E"/>
    <w:rsid w:val="491776BA"/>
    <w:rsid w:val="4A5143BC"/>
    <w:rsid w:val="4C0567FE"/>
    <w:rsid w:val="4C1835FB"/>
    <w:rsid w:val="4CD832A6"/>
    <w:rsid w:val="4D404AF1"/>
    <w:rsid w:val="53037C4D"/>
    <w:rsid w:val="54BC364E"/>
    <w:rsid w:val="55F902B0"/>
    <w:rsid w:val="560E49C3"/>
    <w:rsid w:val="57705C0C"/>
    <w:rsid w:val="5B636AEA"/>
    <w:rsid w:val="5DEC4513"/>
    <w:rsid w:val="5F04511C"/>
    <w:rsid w:val="604C237F"/>
    <w:rsid w:val="60FB43D5"/>
    <w:rsid w:val="65C824C4"/>
    <w:rsid w:val="66DA6F21"/>
    <w:rsid w:val="66E826B0"/>
    <w:rsid w:val="67227ED0"/>
    <w:rsid w:val="6C215421"/>
    <w:rsid w:val="6E192833"/>
    <w:rsid w:val="71873FB3"/>
    <w:rsid w:val="731265FA"/>
    <w:rsid w:val="7CA636C1"/>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iPriority="0" w:semiHidden="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12">
    <w:name w:val="Default Paragraph Font"/>
    <w:unhideWhenUsed/>
    <w:uiPriority w:val="1"/>
  </w:style>
  <w:style w:type="table" w:default="1" w:styleId="14">
    <w:name w:val="Normal Table"/>
    <w:unhideWhenUsed/>
    <w:qFormat/>
    <w:uiPriority w:val="99"/>
    <w:tblPr>
      <w:tblStyle w:val="14"/>
      <w:tblLayout w:type="fixed"/>
      <w:tblCellMar>
        <w:top w:w="0" w:type="dxa"/>
        <w:left w:w="108" w:type="dxa"/>
        <w:bottom w:w="0" w:type="dxa"/>
        <w:right w:w="108" w:type="dxa"/>
      </w:tblCellMar>
    </w:tblPr>
    <w:tcPr>
      <w:textDirection w:val="lrTb"/>
    </w:tcPr>
  </w:style>
  <w:style w:type="paragraph" w:styleId="2">
    <w:name w:val="Plain Text"/>
    <w:basedOn w:val="1"/>
    <w:unhideWhenUsed/>
    <w:qFormat/>
    <w:uiPriority w:val="0"/>
    <w:rPr>
      <w:rFonts w:ascii="宋体" w:hAnsi="Courier New" w:cs="Courier New"/>
      <w:szCs w:val="21"/>
    </w:rPr>
  </w:style>
  <w:style w:type="paragraph" w:styleId="3">
    <w:name w:val="annotation subject"/>
    <w:basedOn w:val="4"/>
    <w:next w:val="4"/>
    <w:link w:val="22"/>
    <w:unhideWhenUsed/>
    <w:qFormat/>
    <w:uiPriority w:val="99"/>
    <w:rPr>
      <w:b/>
      <w:bCs/>
    </w:rPr>
  </w:style>
  <w:style w:type="paragraph" w:styleId="4">
    <w:name w:val="annotation text"/>
    <w:basedOn w:val="1"/>
    <w:link w:val="21"/>
    <w:unhideWhenUsed/>
    <w:qFormat/>
    <w:uiPriority w:val="99"/>
    <w:pPr>
      <w:jc w:val="left"/>
    </w:pPr>
  </w:style>
  <w:style w:type="paragraph" w:styleId="5">
    <w:name w:val="caption"/>
    <w:basedOn w:val="1"/>
    <w:next w:val="1"/>
    <w:qFormat/>
    <w:uiPriority w:val="0"/>
    <w:pPr>
      <w:spacing w:line="360" w:lineRule="auto"/>
      <w:ind w:firstLine="200" w:firstLineChars="200"/>
    </w:pPr>
    <w:rPr>
      <w:rFonts w:ascii="Cambria" w:hAnsi="Cambria" w:eastAsia="黑体" w:cs="Times New Roman"/>
      <w:sz w:val="20"/>
      <w:szCs w:val="20"/>
    </w:rPr>
  </w:style>
  <w:style w:type="paragraph" w:styleId="6">
    <w:name w:val="Body Text Indent"/>
    <w:basedOn w:val="1"/>
    <w:link w:val="18"/>
    <w:unhideWhenUsed/>
    <w:qFormat/>
    <w:uiPriority w:val="99"/>
    <w:pPr>
      <w:spacing w:after="120"/>
      <w:ind w:left="420" w:leftChars="200"/>
    </w:pPr>
  </w:style>
  <w:style w:type="paragraph" w:styleId="7">
    <w:name w:val="Balloon Text"/>
    <w:basedOn w:val="1"/>
    <w:link w:val="20"/>
    <w:unhideWhenUsed/>
    <w:qFormat/>
    <w:uiPriority w:val="0"/>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Body Text First Indent 2"/>
    <w:basedOn w:val="6"/>
    <w:link w:val="19"/>
    <w:qFormat/>
    <w:uiPriority w:val="0"/>
    <w:pPr>
      <w:spacing w:after="0" w:line="680" w:lineRule="exact"/>
      <w:ind w:left="0" w:leftChars="0" w:firstLine="420" w:firstLineChars="200"/>
    </w:pPr>
    <w:rPr>
      <w:rFonts w:ascii="Times New Roman" w:hAnsi="Times New Roman" w:eastAsia="宋体"/>
      <w:sz w:val="32"/>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annotation reference"/>
    <w:basedOn w:val="12"/>
    <w:unhideWhenUsed/>
    <w:qFormat/>
    <w:uiPriority w:val="99"/>
    <w:rPr>
      <w:sz w:val="21"/>
      <w:szCs w:val="21"/>
    </w:rPr>
  </w:style>
  <w:style w:type="paragraph" w:customStyle="1" w:styleId="15">
    <w:name w:val="List Paragraph"/>
    <w:basedOn w:val="1"/>
    <w:qFormat/>
    <w:uiPriority w:val="99"/>
    <w:pPr>
      <w:ind w:firstLine="420" w:firstLineChars="200"/>
    </w:pPr>
  </w:style>
  <w:style w:type="character" w:customStyle="1" w:styleId="16">
    <w:name w:val="页眉 Char"/>
    <w:basedOn w:val="12"/>
    <w:link w:val="10"/>
    <w:qFormat/>
    <w:uiPriority w:val="99"/>
    <w:rPr>
      <w:sz w:val="18"/>
      <w:szCs w:val="18"/>
    </w:rPr>
  </w:style>
  <w:style w:type="character" w:customStyle="1" w:styleId="17">
    <w:name w:val="页脚 Char"/>
    <w:basedOn w:val="12"/>
    <w:link w:val="8"/>
    <w:qFormat/>
    <w:uiPriority w:val="99"/>
    <w:rPr>
      <w:sz w:val="18"/>
      <w:szCs w:val="18"/>
    </w:rPr>
  </w:style>
  <w:style w:type="character" w:customStyle="1" w:styleId="18">
    <w:name w:val="正文文本缩进 Char"/>
    <w:basedOn w:val="12"/>
    <w:link w:val="6"/>
    <w:semiHidden/>
    <w:qFormat/>
    <w:uiPriority w:val="99"/>
    <w:rPr/>
  </w:style>
  <w:style w:type="character" w:customStyle="1" w:styleId="19">
    <w:name w:val="正文首行缩进 2 Char"/>
    <w:basedOn w:val="18"/>
    <w:link w:val="9"/>
    <w:qFormat/>
    <w:uiPriority w:val="0"/>
    <w:rPr>
      <w:rFonts w:ascii="Times New Roman" w:hAnsi="Times New Roman" w:eastAsia="宋体"/>
      <w:sz w:val="32"/>
    </w:rPr>
  </w:style>
  <w:style w:type="character" w:customStyle="1" w:styleId="20">
    <w:name w:val="批注框文本 Char"/>
    <w:basedOn w:val="12"/>
    <w:link w:val="7"/>
    <w:qFormat/>
    <w:uiPriority w:val="0"/>
    <w:rPr>
      <w:kern w:val="2"/>
      <w:sz w:val="18"/>
      <w:szCs w:val="18"/>
    </w:rPr>
  </w:style>
  <w:style w:type="character" w:customStyle="1" w:styleId="21">
    <w:name w:val="批注文字 Char"/>
    <w:basedOn w:val="12"/>
    <w:link w:val="4"/>
    <w:semiHidden/>
    <w:qFormat/>
    <w:uiPriority w:val="99"/>
    <w:rPr>
      <w:kern w:val="2"/>
      <w:sz w:val="21"/>
      <w:szCs w:val="22"/>
    </w:rPr>
  </w:style>
  <w:style w:type="character" w:customStyle="1" w:styleId="22">
    <w:name w:val="批注主题 Char"/>
    <w:basedOn w:val="21"/>
    <w:link w:val="3"/>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1744</Words>
  <Characters>9941</Characters>
  <Lines>82</Lines>
  <Paragraphs>23</Paragraphs>
  <TotalTime>0</TotalTime>
  <ScaleCrop>false</ScaleCrop>
  <LinksUpToDate>false</LinksUpToDate>
  <CharactersWithSpaces>0</CharactersWithSpaces>
  <Application>WPS Office 专业版_9.1.0.5026_F1E327BC-269C-435d-A152-05C5408002CA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2022-09-20T08:54:00Z</dcterms:created>
  <dc:creator>Administrator</dc:creator>
  <cp:lastModifiedBy>陈浩文</cp:lastModifiedBy>
  <cp:lastPrinted>2022-09-26T00:59:00Z</cp:lastPrinted>
  <dcterms:modified xsi:type="dcterms:W3CDTF">2023-02-13T01:23:48Z</dcterms:modified>
  <dc:title>东莞市东城街道创建省级食品安全示范区</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2052-9.1.0.5026</vt:lpwstr>
  </property>
  <property fmtid="{D5CDD505-2E9C-101B-9397-08002B2CF9AE}" pid="3" name="ICV">
    <vt:lpwstr>DCDA1D52A2A14FA29225D73E75DD194E</vt:lpwstr>
  </property>
</Properties>
</file>