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1"/>
          <w:szCs w:val="31"/>
          <w:lang w:val="en-US" w:eastAsia="zh-CN"/>
        </w:rPr>
      </w:pPr>
      <w:bookmarkStart w:id="0" w:name="_GoBack"/>
      <w:r>
        <w:rPr>
          <w:rFonts w:hint="eastAsia" w:ascii="仿宋_GB2312" w:hAnsi="仿宋_GB2312" w:eastAsia="仿宋_GB2312" w:cs="仿宋_GB2312"/>
          <w:sz w:val="31"/>
          <w:szCs w:val="31"/>
          <w:lang w:eastAsia="zh-CN"/>
        </w:rPr>
        <w:t>附件</w:t>
      </w:r>
      <w:r>
        <w:rPr>
          <w:rFonts w:hint="eastAsia" w:ascii="仿宋_GB2312" w:hAnsi="仿宋_GB2312" w:eastAsia="仿宋_GB2312" w:cs="仿宋_GB2312"/>
          <w:sz w:val="31"/>
          <w:szCs w:val="31"/>
          <w:lang w:val="en-US" w:eastAsia="zh-CN"/>
        </w:rPr>
        <w:t>1：</w:t>
      </w:r>
    </w:p>
    <w:bookmarkEnd w:id="0"/>
    <w:p>
      <w:pPr>
        <w:spacing w:line="560" w:lineRule="exact"/>
        <w:jc w:val="center"/>
        <w:rPr>
          <w:rFonts w:hint="eastAsia" w:ascii="方正小标宋简体" w:hAnsi="宋体" w:eastAsia="方正小标宋简体" w:cs="Times New Roman"/>
          <w:sz w:val="44"/>
          <w:szCs w:val="44"/>
          <w:lang w:eastAsia="zh-CN"/>
        </w:rPr>
      </w:pPr>
      <w:r>
        <w:rPr>
          <w:rFonts w:hint="eastAsia" w:ascii="方正小标宋简体" w:hAnsi="宋体" w:eastAsia="方正小标宋简体" w:cs="方正小标宋简体"/>
          <w:sz w:val="44"/>
          <w:szCs w:val="44"/>
        </w:rPr>
        <w:t>医疗器械经营质量管理规范</w:t>
      </w:r>
      <w:r>
        <w:rPr>
          <w:rFonts w:hint="eastAsia" w:ascii="方正小标宋简体" w:hAnsi="宋体" w:eastAsia="方正小标宋简体" w:cs="方正小标宋简体"/>
          <w:sz w:val="44"/>
          <w:szCs w:val="44"/>
          <w:lang w:eastAsia="zh-CN"/>
        </w:rPr>
        <w:t>现场指导原则</w:t>
      </w:r>
    </w:p>
    <w:tbl>
      <w:tblPr>
        <w:tblStyle w:val="10"/>
        <w:tblW w:w="8222"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1146"/>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blCellSpacing w:w="0" w:type="dxa"/>
        </w:trPr>
        <w:tc>
          <w:tcPr>
            <w:tcW w:w="1051" w:type="dxa"/>
            <w:vAlign w:val="center"/>
          </w:tcPr>
          <w:p>
            <w:pPr>
              <w:spacing w:line="240" w:lineRule="exact"/>
              <w:jc w:val="center"/>
              <w:rPr>
                <w:rFonts w:cs="Times New Roman"/>
                <w:sz w:val="18"/>
                <w:szCs w:val="18"/>
              </w:rPr>
            </w:pPr>
            <w:r>
              <w:rPr>
                <w:rFonts w:hint="eastAsia" w:cs="宋体"/>
                <w:sz w:val="18"/>
                <w:szCs w:val="18"/>
              </w:rPr>
              <w:t>章节</w:t>
            </w:r>
          </w:p>
        </w:tc>
        <w:tc>
          <w:tcPr>
            <w:tcW w:w="1146" w:type="dxa"/>
            <w:vAlign w:val="center"/>
          </w:tcPr>
          <w:p>
            <w:pPr>
              <w:spacing w:line="240" w:lineRule="exact"/>
              <w:jc w:val="center"/>
              <w:rPr>
                <w:rFonts w:cs="Times New Roman"/>
                <w:sz w:val="18"/>
                <w:szCs w:val="18"/>
              </w:rPr>
            </w:pPr>
            <w:r>
              <w:rPr>
                <w:rFonts w:hint="eastAsia" w:cs="宋体"/>
                <w:sz w:val="18"/>
                <w:szCs w:val="18"/>
              </w:rPr>
              <w:t>条款号</w:t>
            </w:r>
          </w:p>
        </w:tc>
        <w:tc>
          <w:tcPr>
            <w:tcW w:w="6025" w:type="dxa"/>
            <w:vAlign w:val="center"/>
          </w:tcPr>
          <w:p>
            <w:pPr>
              <w:spacing w:line="240" w:lineRule="exact"/>
              <w:jc w:val="center"/>
              <w:rPr>
                <w:rFonts w:cs="Times New Roman"/>
                <w:sz w:val="18"/>
                <w:szCs w:val="18"/>
              </w:rPr>
            </w:pPr>
            <w:r>
              <w:rPr>
                <w:rFonts w:hint="eastAsia" w:cs="宋体"/>
                <w:sz w:val="18"/>
                <w:szCs w:val="18"/>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职责与制度</w:t>
            </w:r>
          </w:p>
        </w:tc>
        <w:tc>
          <w:tcPr>
            <w:tcW w:w="1146" w:type="dxa"/>
            <w:vAlign w:val="center"/>
          </w:tcPr>
          <w:p>
            <w:pPr>
              <w:spacing w:line="240" w:lineRule="exact"/>
              <w:rPr>
                <w:sz w:val="18"/>
                <w:szCs w:val="18"/>
              </w:rPr>
            </w:pPr>
            <w:r>
              <w:rPr>
                <w:sz w:val="18"/>
                <w:szCs w:val="18"/>
              </w:rPr>
              <w:t>2.5.1</w:t>
            </w:r>
          </w:p>
        </w:tc>
        <w:tc>
          <w:tcPr>
            <w:tcW w:w="6025" w:type="dxa"/>
            <w:vAlign w:val="center"/>
          </w:tcPr>
          <w:p>
            <w:pPr>
              <w:spacing w:line="240" w:lineRule="exact"/>
              <w:rPr>
                <w:rFonts w:cs="Times New Roman"/>
                <w:sz w:val="18"/>
                <w:szCs w:val="18"/>
              </w:rPr>
            </w:pPr>
            <w:r>
              <w:rPr>
                <w:rFonts w:hint="eastAsia" w:cs="宋体"/>
                <w:sz w:val="18"/>
                <w:szCs w:val="18"/>
              </w:rPr>
              <w:t>企业法定代表人或者负责人是医疗器械经营质量的主要责任人，全面负责企业日常管理。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2.5.2</w:t>
            </w:r>
          </w:p>
        </w:tc>
        <w:tc>
          <w:tcPr>
            <w:tcW w:w="6025" w:type="dxa"/>
            <w:vAlign w:val="center"/>
          </w:tcPr>
          <w:p>
            <w:pPr>
              <w:spacing w:line="240" w:lineRule="exact"/>
              <w:rPr>
                <w:rFonts w:cs="Times New Roman"/>
                <w:sz w:val="18"/>
                <w:szCs w:val="18"/>
              </w:rPr>
            </w:pPr>
            <w:r>
              <w:rPr>
                <w:rFonts w:hint="eastAsia" w:cs="宋体"/>
                <w:sz w:val="18"/>
                <w:szCs w:val="18"/>
              </w:rPr>
              <w:t>法定代表人或者负责人应当提供必要的条件，保证质量管理机构或者质量管理人员有效履行职责，确保企业按照本规范要求经营医疗器械。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*2.6</w:t>
            </w:r>
          </w:p>
        </w:tc>
        <w:tc>
          <w:tcPr>
            <w:tcW w:w="6025" w:type="dxa"/>
            <w:vAlign w:val="center"/>
          </w:tcPr>
          <w:p>
            <w:pPr>
              <w:spacing w:line="240" w:lineRule="exact"/>
              <w:rPr>
                <w:rFonts w:cs="Times New Roman"/>
                <w:sz w:val="18"/>
                <w:szCs w:val="18"/>
              </w:rPr>
            </w:pPr>
            <w:r>
              <w:rPr>
                <w:rFonts w:hint="eastAsia" w:cs="宋体"/>
                <w:sz w:val="18"/>
                <w:szCs w:val="18"/>
              </w:rPr>
              <w:t>企业质量负责人负责医疗器械质量管理工作，应当独立履行职责，在企业内部对医疗器械质量管理具有裁决权，承担相应的质量管理责任。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Align w:val="center"/>
          </w:tcPr>
          <w:p>
            <w:pPr>
              <w:spacing w:line="240" w:lineRule="exact"/>
              <w:rPr>
                <w:rFonts w:cs="Times New Roman"/>
                <w:sz w:val="18"/>
                <w:szCs w:val="18"/>
              </w:rPr>
            </w:pPr>
            <w:r>
              <w:rPr>
                <w:rFonts w:hint="eastAsia" w:cs="宋体"/>
                <w:sz w:val="18"/>
                <w:szCs w:val="18"/>
              </w:rPr>
              <w:t>职责与制度</w:t>
            </w:r>
          </w:p>
        </w:tc>
        <w:tc>
          <w:tcPr>
            <w:tcW w:w="1146" w:type="dxa"/>
            <w:vAlign w:val="center"/>
          </w:tcPr>
          <w:p>
            <w:pPr>
              <w:spacing w:line="240" w:lineRule="exact"/>
              <w:rPr>
                <w:sz w:val="18"/>
                <w:szCs w:val="18"/>
              </w:rPr>
            </w:pPr>
            <w:r>
              <w:rPr>
                <w:sz w:val="18"/>
                <w:szCs w:val="18"/>
              </w:rPr>
              <w:t>*2.7</w:t>
            </w:r>
          </w:p>
        </w:tc>
        <w:tc>
          <w:tcPr>
            <w:tcW w:w="6025" w:type="dxa"/>
            <w:vAlign w:val="center"/>
          </w:tcPr>
          <w:p>
            <w:pPr>
              <w:spacing w:line="240" w:lineRule="exact"/>
              <w:rPr>
                <w:rFonts w:cs="Times New Roman"/>
                <w:sz w:val="18"/>
                <w:szCs w:val="18"/>
              </w:rPr>
            </w:pPr>
            <w:r>
              <w:rPr>
                <w:rFonts w:hint="eastAsia" w:cs="宋体"/>
                <w:sz w:val="18"/>
                <w:szCs w:val="18"/>
              </w:rPr>
              <w:t>企业质量管理机构或者质量管理人员应当履行以下职责：</w:t>
            </w:r>
            <w:r>
              <w:rPr>
                <w:rFonts w:cs="Times New Roman"/>
                <w:sz w:val="18"/>
                <w:szCs w:val="18"/>
              </w:rPr>
              <w:br w:type="textWrapping"/>
            </w:r>
            <w:r>
              <w:rPr>
                <w:rFonts w:hint="eastAsia" w:cs="宋体"/>
                <w:sz w:val="18"/>
                <w:szCs w:val="18"/>
              </w:rPr>
              <w:t>（一）组织制订质量管理制度，指导、监督制度的执行，并对质量管理制度的执行情况进行检查、纠正和持续改进；</w:t>
            </w:r>
            <w:r>
              <w:rPr>
                <w:rFonts w:cs="Times New Roman"/>
                <w:sz w:val="18"/>
                <w:szCs w:val="18"/>
              </w:rPr>
              <w:br w:type="textWrapping"/>
            </w:r>
            <w:r>
              <w:rPr>
                <w:rFonts w:hint="eastAsia" w:cs="宋体"/>
                <w:sz w:val="18"/>
                <w:szCs w:val="18"/>
              </w:rPr>
              <w:t>（二）负责收集与医疗器械经营相关的法律、法规等有关规定，实施动态管理；</w:t>
            </w:r>
            <w:r>
              <w:rPr>
                <w:rFonts w:cs="Times New Roman"/>
                <w:sz w:val="18"/>
                <w:szCs w:val="18"/>
              </w:rPr>
              <w:br w:type="textWrapping"/>
            </w:r>
            <w:r>
              <w:rPr>
                <w:rFonts w:hint="eastAsia" w:cs="宋体"/>
                <w:sz w:val="18"/>
                <w:szCs w:val="18"/>
              </w:rPr>
              <w:t>（三）督促相关部门和岗位人员执行医疗器械的法规、规章及规范；</w:t>
            </w:r>
            <w:r>
              <w:rPr>
                <w:rFonts w:cs="Times New Roman"/>
                <w:sz w:val="18"/>
                <w:szCs w:val="18"/>
              </w:rPr>
              <w:br w:type="textWrapping"/>
            </w:r>
            <w:r>
              <w:rPr>
                <w:rFonts w:hint="eastAsia" w:cs="宋体"/>
                <w:sz w:val="18"/>
                <w:szCs w:val="18"/>
              </w:rPr>
              <w:t>（四）负责对医疗器械供货者、产品、购货者资质的审核；</w:t>
            </w:r>
            <w:r>
              <w:rPr>
                <w:rFonts w:cs="Times New Roman"/>
                <w:sz w:val="18"/>
                <w:szCs w:val="18"/>
              </w:rPr>
              <w:br w:type="textWrapping"/>
            </w:r>
            <w:r>
              <w:rPr>
                <w:rFonts w:hint="eastAsia" w:cs="宋体"/>
                <w:sz w:val="18"/>
                <w:szCs w:val="18"/>
              </w:rPr>
              <w:t>（五）负责不合格医疗器械的确认，对不合格医疗器械的处理过程实施监督；</w:t>
            </w:r>
            <w:r>
              <w:rPr>
                <w:rFonts w:cs="Times New Roman"/>
                <w:sz w:val="18"/>
                <w:szCs w:val="18"/>
              </w:rPr>
              <w:br w:type="textWrapping"/>
            </w:r>
            <w:r>
              <w:rPr>
                <w:rFonts w:hint="eastAsia" w:cs="宋体"/>
                <w:sz w:val="18"/>
                <w:szCs w:val="18"/>
              </w:rPr>
              <w:t>（六）负责医疗器械质量投诉和质量事故的调查、处理及报告；</w:t>
            </w:r>
            <w:r>
              <w:rPr>
                <w:rFonts w:cs="Times New Roman"/>
                <w:sz w:val="18"/>
                <w:szCs w:val="18"/>
              </w:rPr>
              <w:br w:type="textWrapping"/>
            </w:r>
            <w:r>
              <w:rPr>
                <w:rFonts w:hint="eastAsia" w:cs="宋体"/>
                <w:sz w:val="18"/>
                <w:szCs w:val="18"/>
              </w:rPr>
              <w:t>（七）组织验证、校准相关设施设备；</w:t>
            </w:r>
            <w:r>
              <w:rPr>
                <w:rFonts w:cs="Times New Roman"/>
                <w:sz w:val="18"/>
                <w:szCs w:val="18"/>
              </w:rPr>
              <w:br w:type="textWrapping"/>
            </w:r>
            <w:r>
              <w:rPr>
                <w:rFonts w:hint="eastAsia" w:cs="宋体"/>
                <w:sz w:val="18"/>
                <w:szCs w:val="18"/>
              </w:rPr>
              <w:t>（八）组织医疗器械不良事件的收集与报告；</w:t>
            </w:r>
            <w:r>
              <w:rPr>
                <w:rFonts w:cs="Times New Roman"/>
                <w:sz w:val="18"/>
                <w:szCs w:val="18"/>
              </w:rPr>
              <w:br w:type="textWrapping"/>
            </w:r>
            <w:r>
              <w:rPr>
                <w:rFonts w:hint="eastAsia" w:cs="宋体"/>
                <w:sz w:val="18"/>
                <w:szCs w:val="18"/>
              </w:rPr>
              <w:t>（九）负责医疗器械召回的管理；</w:t>
            </w:r>
            <w:r>
              <w:rPr>
                <w:rFonts w:cs="Times New Roman"/>
                <w:sz w:val="18"/>
                <w:szCs w:val="18"/>
              </w:rPr>
              <w:br w:type="textWrapping"/>
            </w:r>
            <w:r>
              <w:rPr>
                <w:rFonts w:hint="eastAsia" w:cs="宋体"/>
                <w:sz w:val="18"/>
                <w:szCs w:val="18"/>
              </w:rPr>
              <w:t>（十）组织对受托运输的承运方运输条件和质量保障能力的审核；</w:t>
            </w:r>
            <w:r>
              <w:rPr>
                <w:rFonts w:cs="Times New Roman"/>
                <w:sz w:val="18"/>
                <w:szCs w:val="18"/>
              </w:rPr>
              <w:br w:type="textWrapping"/>
            </w:r>
            <w:r>
              <w:rPr>
                <w:rFonts w:hint="eastAsia" w:cs="宋体"/>
                <w:sz w:val="18"/>
                <w:szCs w:val="18"/>
              </w:rPr>
              <w:t>（十一）组织或者协助开展质量管理培训；</w:t>
            </w:r>
            <w:r>
              <w:rPr>
                <w:rFonts w:cs="Times New Roman"/>
                <w:sz w:val="18"/>
                <w:szCs w:val="18"/>
              </w:rPr>
              <w:br w:type="textWrapping"/>
            </w:r>
            <w:r>
              <w:rPr>
                <w:rFonts w:hint="eastAsia" w:cs="宋体"/>
                <w:sz w:val="18"/>
                <w:szCs w:val="18"/>
              </w:rPr>
              <w:t>（十二）其他应当由质量管理机构或者质量管理人员履行的职责。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职责与制度</w:t>
            </w:r>
          </w:p>
        </w:tc>
        <w:tc>
          <w:tcPr>
            <w:tcW w:w="1146" w:type="dxa"/>
            <w:vAlign w:val="center"/>
          </w:tcPr>
          <w:p>
            <w:pPr>
              <w:spacing w:line="240" w:lineRule="exact"/>
              <w:rPr>
                <w:sz w:val="18"/>
                <w:szCs w:val="18"/>
              </w:rPr>
            </w:pPr>
            <w:r>
              <w:rPr>
                <w:sz w:val="18"/>
                <w:szCs w:val="18"/>
              </w:rPr>
              <w:t>*2.8.1</w:t>
            </w:r>
          </w:p>
        </w:tc>
        <w:tc>
          <w:tcPr>
            <w:tcW w:w="6025" w:type="dxa"/>
            <w:vAlign w:val="center"/>
          </w:tcPr>
          <w:p>
            <w:pPr>
              <w:spacing w:line="240" w:lineRule="exact"/>
              <w:rPr>
                <w:rFonts w:cs="Times New Roman"/>
                <w:sz w:val="18"/>
                <w:szCs w:val="18"/>
              </w:rPr>
            </w:pPr>
            <w:r>
              <w:rPr>
                <w:rFonts w:hint="eastAsia" w:cs="宋体"/>
                <w:sz w:val="18"/>
                <w:szCs w:val="18"/>
              </w:rPr>
              <w:t>企业应当依据本规范建立覆盖医疗器械经营全过程的质量管理制度，并保存相关记录或者档案，包括以下内容：</w:t>
            </w:r>
            <w:r>
              <w:rPr>
                <w:rFonts w:cs="Times New Roman"/>
                <w:sz w:val="18"/>
                <w:szCs w:val="18"/>
              </w:rPr>
              <w:br w:type="textWrapping"/>
            </w:r>
            <w:r>
              <w:rPr>
                <w:rFonts w:hint="eastAsia" w:cs="宋体"/>
                <w:sz w:val="18"/>
                <w:szCs w:val="18"/>
              </w:rPr>
              <w:t>（一）质量管理机构或者质量管理人员的职责；</w:t>
            </w:r>
            <w:r>
              <w:rPr>
                <w:rFonts w:cs="Times New Roman"/>
                <w:sz w:val="18"/>
                <w:szCs w:val="18"/>
              </w:rPr>
              <w:br w:type="textWrapping"/>
            </w:r>
            <w:r>
              <w:rPr>
                <w:rFonts w:hint="eastAsia" w:cs="宋体"/>
                <w:sz w:val="18"/>
                <w:szCs w:val="18"/>
              </w:rPr>
              <w:t>（二）质量管理的规定；</w:t>
            </w:r>
            <w:r>
              <w:rPr>
                <w:rFonts w:cs="Times New Roman"/>
                <w:sz w:val="18"/>
                <w:szCs w:val="18"/>
              </w:rPr>
              <w:br w:type="textWrapping"/>
            </w:r>
            <w:r>
              <w:rPr>
                <w:rFonts w:hint="eastAsia" w:cs="宋体"/>
                <w:sz w:val="18"/>
                <w:szCs w:val="18"/>
              </w:rPr>
              <w:t>（三）采购、收货、验收的规定（包括采购记录、验收记录、随货同行单等）；</w:t>
            </w:r>
            <w:r>
              <w:rPr>
                <w:rFonts w:cs="Times New Roman"/>
                <w:sz w:val="18"/>
                <w:szCs w:val="18"/>
              </w:rPr>
              <w:br w:type="textWrapping"/>
            </w:r>
            <w:r>
              <w:rPr>
                <w:rFonts w:hint="eastAsia" w:cs="宋体"/>
                <w:sz w:val="18"/>
                <w:szCs w:val="18"/>
              </w:rPr>
              <w:t>（四）供货者资格审核的规定（包括供货者及产品合法性审核的相关证明文件等）；</w:t>
            </w:r>
            <w:r>
              <w:rPr>
                <w:rFonts w:cs="Times New Roman"/>
                <w:sz w:val="18"/>
                <w:szCs w:val="18"/>
              </w:rPr>
              <w:br w:type="textWrapping"/>
            </w:r>
            <w:r>
              <w:rPr>
                <w:rFonts w:hint="eastAsia" w:cs="宋体"/>
                <w:sz w:val="18"/>
                <w:szCs w:val="18"/>
              </w:rPr>
              <w:t>（五）库房贮存、出入库、运输管理的规定（包括温度记录、入库记录、定期检查记录、出库记录等）；</w:t>
            </w:r>
            <w:r>
              <w:rPr>
                <w:rFonts w:cs="Times New Roman"/>
                <w:sz w:val="18"/>
                <w:szCs w:val="18"/>
              </w:rPr>
              <w:br w:type="textWrapping"/>
            </w:r>
            <w:r>
              <w:rPr>
                <w:rFonts w:hint="eastAsia" w:cs="宋体"/>
                <w:sz w:val="18"/>
                <w:szCs w:val="18"/>
              </w:rPr>
              <w:t>（六）销售和售后服务的规定（包括销售人员授权书、购货者档案、销售记录等）；</w:t>
            </w:r>
            <w:r>
              <w:rPr>
                <w:rFonts w:cs="Times New Roman"/>
                <w:sz w:val="18"/>
                <w:szCs w:val="18"/>
              </w:rPr>
              <w:br w:type="textWrapping"/>
            </w:r>
            <w:r>
              <w:rPr>
                <w:rFonts w:hint="eastAsia" w:cs="宋体"/>
                <w:sz w:val="18"/>
                <w:szCs w:val="18"/>
              </w:rPr>
              <w:t>（七）不合格医疗器械管理的规定（包括销毁记录等）；</w:t>
            </w:r>
            <w:r>
              <w:rPr>
                <w:rFonts w:cs="Times New Roman"/>
                <w:sz w:val="18"/>
                <w:szCs w:val="18"/>
              </w:rPr>
              <w:br w:type="textWrapping"/>
            </w:r>
            <w:r>
              <w:rPr>
                <w:rFonts w:hint="eastAsia" w:cs="宋体"/>
                <w:sz w:val="18"/>
                <w:szCs w:val="18"/>
              </w:rPr>
              <w:t>（八）医疗器械退、换货的规定；</w:t>
            </w:r>
            <w:r>
              <w:rPr>
                <w:rFonts w:cs="Times New Roman"/>
                <w:sz w:val="18"/>
                <w:szCs w:val="18"/>
              </w:rPr>
              <w:br w:type="textWrapping"/>
            </w:r>
            <w:r>
              <w:rPr>
                <w:rFonts w:hint="eastAsia" w:cs="宋体"/>
                <w:sz w:val="18"/>
                <w:szCs w:val="18"/>
              </w:rPr>
              <w:t>（九）医疗器械不良事件监测和报告规定（包括停止经营和通知记录等）；</w:t>
            </w:r>
            <w:r>
              <w:rPr>
                <w:rFonts w:cs="Times New Roman"/>
                <w:sz w:val="18"/>
                <w:szCs w:val="18"/>
              </w:rPr>
              <w:br w:type="textWrapping"/>
            </w:r>
            <w:r>
              <w:rPr>
                <w:rFonts w:hint="eastAsia" w:cs="宋体"/>
                <w:sz w:val="18"/>
                <w:szCs w:val="18"/>
              </w:rPr>
              <w:t>（十）医疗器械召回规定（包括医疗器械召回记录等）；</w:t>
            </w:r>
            <w:r>
              <w:rPr>
                <w:rFonts w:cs="Times New Roman"/>
                <w:sz w:val="18"/>
                <w:szCs w:val="18"/>
              </w:rPr>
              <w:br w:type="textWrapping"/>
            </w:r>
            <w:r>
              <w:rPr>
                <w:rFonts w:hint="eastAsia" w:cs="宋体"/>
                <w:sz w:val="18"/>
                <w:szCs w:val="18"/>
              </w:rPr>
              <w:t>（十一）设施设备维护及验证和校准的规定（包括设施设备相关记录和档案等）；</w:t>
            </w:r>
            <w:r>
              <w:rPr>
                <w:rFonts w:cs="Times New Roman"/>
                <w:sz w:val="18"/>
                <w:szCs w:val="18"/>
              </w:rPr>
              <w:br w:type="textWrapping"/>
            </w:r>
            <w:r>
              <w:rPr>
                <w:rFonts w:hint="eastAsia" w:cs="宋体"/>
                <w:sz w:val="18"/>
                <w:szCs w:val="18"/>
              </w:rPr>
              <w:t>（十二）卫生和人员健康状况的规定（包括员工健康档案等）；</w:t>
            </w:r>
            <w:r>
              <w:rPr>
                <w:rFonts w:cs="Times New Roman"/>
                <w:sz w:val="18"/>
                <w:szCs w:val="18"/>
              </w:rPr>
              <w:br w:type="textWrapping"/>
            </w:r>
            <w:r>
              <w:rPr>
                <w:rFonts w:hint="eastAsia" w:cs="宋体"/>
                <w:sz w:val="18"/>
                <w:szCs w:val="18"/>
              </w:rPr>
              <w:t>（十三）质量管理培训及考核的规定（包括培训记录等）；</w:t>
            </w:r>
            <w:r>
              <w:rPr>
                <w:rFonts w:cs="Times New Roman"/>
                <w:sz w:val="18"/>
                <w:szCs w:val="18"/>
              </w:rPr>
              <w:br w:type="textWrapping"/>
            </w:r>
            <w:r>
              <w:rPr>
                <w:rFonts w:hint="eastAsia" w:cs="宋体"/>
                <w:sz w:val="18"/>
                <w:szCs w:val="18"/>
              </w:rPr>
              <w:t>（十四）医疗器械质量投诉、事故调查和处理报告的规定（包括质量投诉、事故调查和处理报告相应的记录及档案等）。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*2.8.2</w:t>
            </w:r>
          </w:p>
        </w:tc>
        <w:tc>
          <w:tcPr>
            <w:tcW w:w="6025" w:type="dxa"/>
            <w:vAlign w:val="center"/>
          </w:tcPr>
          <w:p>
            <w:pPr>
              <w:spacing w:line="240" w:lineRule="exact"/>
              <w:rPr>
                <w:rFonts w:cs="Times New Roman"/>
                <w:sz w:val="18"/>
                <w:szCs w:val="18"/>
              </w:rPr>
            </w:pPr>
            <w:r>
              <w:rPr>
                <w:rFonts w:hint="eastAsia" w:cs="宋体"/>
                <w:sz w:val="18"/>
                <w:szCs w:val="18"/>
              </w:rPr>
              <w:t>从事第二类、第三类医疗器械批发业务和第三类医疗器械零售业务的企业还应当制定购货者资格审核、医疗器械追踪溯源、质量管理制度执行情况考核的规定。</w:t>
            </w:r>
            <w:r>
              <w:rPr>
                <w:rFonts w:cs="Times New Roman"/>
                <w:sz w:val="18"/>
                <w:szCs w:val="18"/>
              </w:rPr>
              <w:br w:type="textWrapping"/>
            </w:r>
            <w:r>
              <w:rPr>
                <w:rFonts w:hint="eastAsia" w:cs="宋体"/>
                <w:sz w:val="18"/>
                <w:szCs w:val="18"/>
              </w:rPr>
              <w:t>第三类医疗器械经营企业应当建立质量管理自查制度，于每年年底前向所在地设区的市级市场监管部门提交年度自查报告。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职责与制度</w:t>
            </w:r>
          </w:p>
        </w:tc>
        <w:tc>
          <w:tcPr>
            <w:tcW w:w="1146" w:type="dxa"/>
            <w:vAlign w:val="center"/>
          </w:tcPr>
          <w:p>
            <w:pPr>
              <w:spacing w:line="240" w:lineRule="exact"/>
              <w:rPr>
                <w:sz w:val="18"/>
                <w:szCs w:val="18"/>
              </w:rPr>
            </w:pPr>
            <w:r>
              <w:rPr>
                <w:sz w:val="18"/>
                <w:szCs w:val="18"/>
              </w:rPr>
              <w:t>2.9.1</w:t>
            </w:r>
          </w:p>
        </w:tc>
        <w:tc>
          <w:tcPr>
            <w:tcW w:w="6025" w:type="dxa"/>
            <w:vAlign w:val="center"/>
          </w:tcPr>
          <w:p>
            <w:pPr>
              <w:spacing w:line="240" w:lineRule="exact"/>
              <w:rPr>
                <w:rFonts w:cs="Times New Roman"/>
                <w:sz w:val="18"/>
                <w:szCs w:val="18"/>
              </w:rPr>
            </w:pPr>
            <w:r>
              <w:rPr>
                <w:rFonts w:hint="eastAsia" w:cs="宋体"/>
                <w:sz w:val="18"/>
                <w:szCs w:val="18"/>
              </w:rPr>
              <w:t>企业应当根据经营范围和经营规模建立相应的质量管理记录制度。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*2.9.2</w:t>
            </w:r>
          </w:p>
        </w:tc>
        <w:tc>
          <w:tcPr>
            <w:tcW w:w="6025" w:type="dxa"/>
            <w:vAlign w:val="center"/>
          </w:tcPr>
          <w:p>
            <w:pPr>
              <w:spacing w:line="240" w:lineRule="exact"/>
              <w:rPr>
                <w:rFonts w:cs="Times New Roman"/>
                <w:sz w:val="18"/>
                <w:szCs w:val="18"/>
              </w:rPr>
            </w:pPr>
            <w:r>
              <w:rPr>
                <w:rFonts w:hint="eastAsia" w:cs="宋体"/>
                <w:sz w:val="18"/>
                <w:szCs w:val="18"/>
              </w:rPr>
              <w:t>企业应当建立并执行进货查验记录制度。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*2.9.3</w:t>
            </w:r>
          </w:p>
        </w:tc>
        <w:tc>
          <w:tcPr>
            <w:tcW w:w="6025" w:type="dxa"/>
            <w:vAlign w:val="center"/>
          </w:tcPr>
          <w:p>
            <w:pPr>
              <w:spacing w:line="240" w:lineRule="exact"/>
              <w:rPr>
                <w:rFonts w:cs="Times New Roman"/>
                <w:sz w:val="18"/>
                <w:szCs w:val="18"/>
              </w:rPr>
            </w:pPr>
            <w:r>
              <w:rPr>
                <w:rFonts w:hint="eastAsia" w:cs="宋体"/>
                <w:sz w:val="18"/>
                <w:szCs w:val="18"/>
              </w:rPr>
              <w:t>从事第二类、第三类医疗器械批发业务以及第三类医疗器械零售业务的经营企业应当建立销售记录制度。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2.9.4</w:t>
            </w:r>
          </w:p>
        </w:tc>
        <w:tc>
          <w:tcPr>
            <w:tcW w:w="6025" w:type="dxa"/>
            <w:vAlign w:val="center"/>
          </w:tcPr>
          <w:p>
            <w:pPr>
              <w:spacing w:line="240" w:lineRule="exact"/>
              <w:rPr>
                <w:rFonts w:cs="Times New Roman"/>
                <w:sz w:val="18"/>
                <w:szCs w:val="18"/>
              </w:rPr>
            </w:pPr>
            <w:r>
              <w:rPr>
                <w:rFonts w:hint="eastAsia" w:cs="宋体"/>
                <w:sz w:val="18"/>
                <w:szCs w:val="18"/>
              </w:rPr>
              <w:t>进货查验记录（包括采购记录、验收记录）和销售记录信息应当真实、准确、完整。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2.9.5</w:t>
            </w:r>
          </w:p>
        </w:tc>
        <w:tc>
          <w:tcPr>
            <w:tcW w:w="6025" w:type="dxa"/>
            <w:vAlign w:val="center"/>
          </w:tcPr>
          <w:p>
            <w:pPr>
              <w:spacing w:line="240" w:lineRule="exact"/>
              <w:rPr>
                <w:rFonts w:cs="Times New Roman"/>
                <w:sz w:val="18"/>
                <w:szCs w:val="18"/>
              </w:rPr>
            </w:pPr>
            <w:r>
              <w:rPr>
                <w:rFonts w:hint="eastAsia" w:cs="宋体"/>
                <w:sz w:val="18"/>
                <w:szCs w:val="18"/>
              </w:rPr>
              <w:t>从事医疗器械批发业务的企业，其购进、贮存、销售等记录应当符合可追溯要求。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*2.9.6</w:t>
            </w:r>
          </w:p>
        </w:tc>
        <w:tc>
          <w:tcPr>
            <w:tcW w:w="6025" w:type="dxa"/>
            <w:vAlign w:val="center"/>
          </w:tcPr>
          <w:p>
            <w:pPr>
              <w:spacing w:line="240" w:lineRule="exact"/>
              <w:rPr>
                <w:rFonts w:cs="Times New Roman"/>
                <w:sz w:val="18"/>
                <w:szCs w:val="18"/>
              </w:rPr>
            </w:pPr>
            <w:r>
              <w:rPr>
                <w:rFonts w:hint="eastAsia" w:cs="宋体"/>
                <w:sz w:val="18"/>
                <w:szCs w:val="18"/>
              </w:rPr>
              <w:t>进货查验记录和销售记录应当保存至医疗器械有效期后</w:t>
            </w:r>
            <w:r>
              <w:rPr>
                <w:sz w:val="18"/>
                <w:szCs w:val="18"/>
              </w:rPr>
              <w:t>2</w:t>
            </w:r>
            <w:r>
              <w:rPr>
                <w:rFonts w:hint="eastAsia" w:cs="宋体"/>
                <w:sz w:val="18"/>
                <w:szCs w:val="18"/>
              </w:rPr>
              <w:t>年；无有效期的，不得少于</w:t>
            </w:r>
            <w:r>
              <w:rPr>
                <w:sz w:val="18"/>
                <w:szCs w:val="18"/>
              </w:rPr>
              <w:t>5</w:t>
            </w:r>
            <w:r>
              <w:rPr>
                <w:rFonts w:hint="eastAsia" w:cs="宋体"/>
                <w:sz w:val="18"/>
                <w:szCs w:val="18"/>
              </w:rPr>
              <w:t>年。植入类医疗器械进货查验记录和销售记录应当永久保存。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人员与培训</w:t>
            </w:r>
          </w:p>
        </w:tc>
        <w:tc>
          <w:tcPr>
            <w:tcW w:w="1146" w:type="dxa"/>
            <w:vAlign w:val="center"/>
          </w:tcPr>
          <w:p>
            <w:pPr>
              <w:spacing w:line="240" w:lineRule="exact"/>
              <w:rPr>
                <w:sz w:val="18"/>
                <w:szCs w:val="18"/>
              </w:rPr>
            </w:pPr>
            <w:r>
              <w:rPr>
                <w:sz w:val="18"/>
                <w:szCs w:val="18"/>
              </w:rPr>
              <w:t>3.10.1</w:t>
            </w:r>
          </w:p>
        </w:tc>
        <w:tc>
          <w:tcPr>
            <w:tcW w:w="6025" w:type="dxa"/>
            <w:vAlign w:val="center"/>
          </w:tcPr>
          <w:p>
            <w:pPr>
              <w:spacing w:line="240" w:lineRule="exact"/>
              <w:rPr>
                <w:rFonts w:cs="Times New Roman"/>
                <w:sz w:val="18"/>
                <w:szCs w:val="18"/>
              </w:rPr>
            </w:pPr>
            <w:r>
              <w:rPr>
                <w:rFonts w:hint="eastAsia" w:cs="宋体"/>
                <w:sz w:val="18"/>
                <w:szCs w:val="18"/>
              </w:rPr>
              <w:t>企业法定代表人、负责人、质量管理人员应当熟悉医疗器械监督管理的法律法规、规章规范和所经营医疗器械的相关知识，并符合有关法律法规及本规范规定的资格要求。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*3.10.2</w:t>
            </w:r>
          </w:p>
        </w:tc>
        <w:tc>
          <w:tcPr>
            <w:tcW w:w="6025" w:type="dxa"/>
            <w:vAlign w:val="center"/>
          </w:tcPr>
          <w:p>
            <w:pPr>
              <w:spacing w:line="240" w:lineRule="exact"/>
              <w:rPr>
                <w:rFonts w:cs="Times New Roman"/>
                <w:sz w:val="18"/>
                <w:szCs w:val="18"/>
              </w:rPr>
            </w:pPr>
            <w:r>
              <w:rPr>
                <w:rFonts w:hint="eastAsia" w:cs="宋体"/>
                <w:sz w:val="18"/>
                <w:szCs w:val="18"/>
              </w:rPr>
              <w:t>企业法定代表人、负责人、质量管理人员不得有相关法律法规禁止从业的情形。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3.11.1</w:t>
            </w:r>
          </w:p>
        </w:tc>
        <w:tc>
          <w:tcPr>
            <w:tcW w:w="6025" w:type="dxa"/>
            <w:vAlign w:val="center"/>
          </w:tcPr>
          <w:p>
            <w:pPr>
              <w:spacing w:line="240" w:lineRule="exact"/>
              <w:rPr>
                <w:rFonts w:cs="Times New Roman"/>
                <w:sz w:val="18"/>
                <w:szCs w:val="18"/>
              </w:rPr>
            </w:pPr>
            <w:r>
              <w:rPr>
                <w:rFonts w:hint="eastAsia" w:cs="宋体"/>
                <w:sz w:val="18"/>
                <w:szCs w:val="18"/>
              </w:rPr>
              <w:t>企业应当具有与经营范围和经营规模相适应的质量管理机构或者质量管理人员。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3.11.2</w:t>
            </w:r>
          </w:p>
        </w:tc>
        <w:tc>
          <w:tcPr>
            <w:tcW w:w="6025" w:type="dxa"/>
            <w:vAlign w:val="center"/>
          </w:tcPr>
          <w:p>
            <w:pPr>
              <w:spacing w:line="240" w:lineRule="exact"/>
              <w:rPr>
                <w:rFonts w:cs="Times New Roman"/>
                <w:sz w:val="18"/>
                <w:szCs w:val="18"/>
              </w:rPr>
            </w:pPr>
            <w:r>
              <w:rPr>
                <w:rFonts w:hint="eastAsia" w:cs="宋体"/>
                <w:sz w:val="18"/>
                <w:szCs w:val="18"/>
              </w:rPr>
              <w:t>企业质量管理人员应当具有国家认可的相关专业学历或职称。</w:t>
            </w:r>
            <w:r>
              <w:rPr>
                <w:rFonts w:cs="Times New Roman"/>
                <w:sz w:val="18"/>
                <w:szCs w:val="18"/>
              </w:rPr>
              <w:br w:type="textWrapping"/>
            </w:r>
            <w:r>
              <w:rPr>
                <w:rFonts w:hint="eastAsia" w:cs="宋体"/>
                <w:sz w:val="18"/>
                <w:szCs w:val="18"/>
              </w:rPr>
              <w:t>第三类医疗器械经营企业质量负责人应当具备医疗器械相关专业（相关专业指医疗器械、生物医学工程、机械、电子、医学、生物工程、化学、药学、护理学、康复、检验学、管理等）大专以上学历或者中级以上专业技术职称，同时应当具有</w:t>
            </w:r>
            <w:r>
              <w:rPr>
                <w:sz w:val="18"/>
                <w:szCs w:val="18"/>
              </w:rPr>
              <w:t>3</w:t>
            </w:r>
            <w:r>
              <w:rPr>
                <w:rFonts w:hint="eastAsia" w:cs="宋体"/>
                <w:sz w:val="18"/>
                <w:szCs w:val="18"/>
              </w:rPr>
              <w:t>年以上医疗器械经营质量管理工作经历。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人员与培训</w:t>
            </w:r>
          </w:p>
        </w:tc>
        <w:tc>
          <w:tcPr>
            <w:tcW w:w="1146" w:type="dxa"/>
            <w:vAlign w:val="center"/>
          </w:tcPr>
          <w:p>
            <w:pPr>
              <w:spacing w:line="240" w:lineRule="exact"/>
              <w:rPr>
                <w:sz w:val="18"/>
                <w:szCs w:val="18"/>
              </w:rPr>
            </w:pPr>
            <w:r>
              <w:rPr>
                <w:sz w:val="18"/>
                <w:szCs w:val="18"/>
              </w:rPr>
              <w:t>3.12</w:t>
            </w:r>
          </w:p>
        </w:tc>
        <w:tc>
          <w:tcPr>
            <w:tcW w:w="6025" w:type="dxa"/>
            <w:vAlign w:val="center"/>
          </w:tcPr>
          <w:p>
            <w:pPr>
              <w:spacing w:line="240" w:lineRule="exact"/>
              <w:rPr>
                <w:rFonts w:cs="Times New Roman"/>
                <w:sz w:val="18"/>
                <w:szCs w:val="18"/>
              </w:rPr>
            </w:pPr>
            <w:r>
              <w:rPr>
                <w:rFonts w:hint="eastAsia" w:cs="宋体"/>
                <w:sz w:val="18"/>
                <w:szCs w:val="18"/>
              </w:rPr>
              <w:t>企业应当设置或配备与经营规模、经营范围相适应的，并符合相关资格要求的质量管理、经营等关键岗位人员。从事质量管理工作的人员应当在职在岗。</w:t>
            </w:r>
            <w:r>
              <w:rPr>
                <w:rFonts w:cs="Times New Roman"/>
                <w:sz w:val="18"/>
                <w:szCs w:val="18"/>
              </w:rPr>
              <w:br w:type="textWrapping"/>
            </w:r>
            <w:r>
              <w:rPr>
                <w:rFonts w:hint="eastAsia" w:cs="宋体"/>
                <w:sz w:val="18"/>
                <w:szCs w:val="18"/>
              </w:rPr>
              <w:t>（一）从事体外诊断试剂的质量管理人员中，应当有</w:t>
            </w:r>
            <w:r>
              <w:rPr>
                <w:sz w:val="18"/>
                <w:szCs w:val="18"/>
              </w:rPr>
              <w:t>1</w:t>
            </w:r>
            <w:r>
              <w:rPr>
                <w:rFonts w:hint="eastAsia" w:cs="宋体"/>
                <w:sz w:val="18"/>
                <w:szCs w:val="18"/>
              </w:rPr>
              <w:t>人为主管检验师，或具有检验学相关专业大学以上学历并从事检验相关工作</w:t>
            </w:r>
            <w:r>
              <w:rPr>
                <w:sz w:val="18"/>
                <w:szCs w:val="18"/>
              </w:rPr>
              <w:t>3</w:t>
            </w:r>
            <w:r>
              <w:rPr>
                <w:rFonts w:hint="eastAsia" w:cs="宋体"/>
                <w:sz w:val="18"/>
                <w:szCs w:val="18"/>
              </w:rPr>
              <w:t>年以上工作经历。从事体外诊断试剂验收和售后服务工作的人员，应当具有检验学相关专业中专以上学历或者具有检验师初级以上专业技术职称。</w:t>
            </w:r>
            <w:r>
              <w:rPr>
                <w:rFonts w:cs="Times New Roman"/>
                <w:sz w:val="18"/>
                <w:szCs w:val="18"/>
              </w:rPr>
              <w:br w:type="textWrapping"/>
            </w:r>
            <w:r>
              <w:rPr>
                <w:rFonts w:hint="eastAsia" w:cs="宋体"/>
                <w:sz w:val="18"/>
                <w:szCs w:val="18"/>
              </w:rPr>
              <w:t>（二）从事植入和介入类医疗器械经营人员中，应当配备医学相关专业大专以上学历，并经过生产企业或者供应商培训的人员。</w:t>
            </w:r>
            <w:r>
              <w:rPr>
                <w:rFonts w:cs="Times New Roman"/>
                <w:sz w:val="18"/>
                <w:szCs w:val="18"/>
              </w:rPr>
              <w:br w:type="textWrapping"/>
            </w:r>
            <w:r>
              <w:rPr>
                <w:rFonts w:hint="eastAsia" w:cs="宋体"/>
                <w:sz w:val="18"/>
                <w:szCs w:val="18"/>
              </w:rPr>
              <w:t>（三）从事角膜接触镜、助听器等其他有特殊要求的医疗器械经营人员中，应当配备具有相关专业或者职业资格的人员。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3.13</w:t>
            </w:r>
          </w:p>
        </w:tc>
        <w:tc>
          <w:tcPr>
            <w:tcW w:w="6025" w:type="dxa"/>
            <w:vAlign w:val="center"/>
          </w:tcPr>
          <w:p>
            <w:pPr>
              <w:spacing w:line="240" w:lineRule="exact"/>
              <w:rPr>
                <w:rFonts w:cs="Times New Roman"/>
                <w:sz w:val="18"/>
                <w:szCs w:val="18"/>
              </w:rPr>
            </w:pPr>
            <w:r>
              <w:rPr>
                <w:rFonts w:hint="eastAsia" w:cs="宋体"/>
                <w:sz w:val="18"/>
                <w:szCs w:val="18"/>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3.14</w:t>
            </w:r>
          </w:p>
        </w:tc>
        <w:tc>
          <w:tcPr>
            <w:tcW w:w="6025" w:type="dxa"/>
            <w:vAlign w:val="center"/>
          </w:tcPr>
          <w:p>
            <w:pPr>
              <w:spacing w:line="240" w:lineRule="exact"/>
              <w:rPr>
                <w:rFonts w:cs="Times New Roman"/>
                <w:sz w:val="18"/>
                <w:szCs w:val="18"/>
              </w:rPr>
            </w:pPr>
            <w:r>
              <w:rPr>
                <w:rFonts w:hint="eastAsia" w:cs="宋体"/>
                <w:sz w:val="18"/>
                <w:szCs w:val="18"/>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3.15</w:t>
            </w:r>
          </w:p>
        </w:tc>
        <w:tc>
          <w:tcPr>
            <w:tcW w:w="6025" w:type="dxa"/>
            <w:vAlign w:val="center"/>
          </w:tcPr>
          <w:p>
            <w:pPr>
              <w:spacing w:line="240" w:lineRule="exact"/>
              <w:rPr>
                <w:rFonts w:cs="Times New Roman"/>
                <w:sz w:val="18"/>
                <w:szCs w:val="18"/>
              </w:rPr>
            </w:pPr>
            <w:r>
              <w:rPr>
                <w:rFonts w:hint="eastAsia" w:cs="宋体"/>
                <w:sz w:val="18"/>
                <w:szCs w:val="18"/>
              </w:rPr>
              <w:t>企业应当建立员工健康档案，质量管理、验收、库房管理等直接接触医疗器械岗位的人员，应当至少每年进行一次健康检查。身体条件不符合相应岗位特定要求的，不得从事相关工作。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设施与设备</w:t>
            </w:r>
          </w:p>
        </w:tc>
        <w:tc>
          <w:tcPr>
            <w:tcW w:w="1146" w:type="dxa"/>
            <w:vAlign w:val="center"/>
          </w:tcPr>
          <w:p>
            <w:pPr>
              <w:spacing w:line="240" w:lineRule="exact"/>
              <w:rPr>
                <w:sz w:val="18"/>
                <w:szCs w:val="18"/>
              </w:rPr>
            </w:pPr>
            <w:r>
              <w:rPr>
                <w:sz w:val="18"/>
                <w:szCs w:val="18"/>
              </w:rPr>
              <w:t>*4.16.1</w:t>
            </w:r>
          </w:p>
        </w:tc>
        <w:tc>
          <w:tcPr>
            <w:tcW w:w="6025" w:type="dxa"/>
            <w:vAlign w:val="center"/>
          </w:tcPr>
          <w:p>
            <w:pPr>
              <w:spacing w:line="240" w:lineRule="exact"/>
              <w:rPr>
                <w:rFonts w:cs="Times New Roman"/>
                <w:sz w:val="18"/>
                <w:szCs w:val="18"/>
              </w:rPr>
            </w:pPr>
            <w:r>
              <w:rPr>
                <w:rFonts w:hint="eastAsia" w:cs="宋体"/>
                <w:sz w:val="18"/>
                <w:szCs w:val="18"/>
              </w:rPr>
              <w:t>企业应当具有与经营范围和经营规模相适应、独立的经营场所和库房，经营场所和库房的面积应当满足经营要求。经营场所和库房不得设在居民住宅内、军事管理区（不含可租赁区）以及其他不适合经营的场所。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4.16.2</w:t>
            </w:r>
          </w:p>
        </w:tc>
        <w:tc>
          <w:tcPr>
            <w:tcW w:w="6025" w:type="dxa"/>
            <w:vAlign w:val="center"/>
          </w:tcPr>
          <w:p>
            <w:pPr>
              <w:spacing w:line="240" w:lineRule="exact"/>
              <w:rPr>
                <w:rFonts w:cs="Times New Roman"/>
                <w:sz w:val="18"/>
                <w:szCs w:val="18"/>
              </w:rPr>
            </w:pPr>
            <w:r>
              <w:rPr>
                <w:rFonts w:hint="eastAsia" w:cs="宋体"/>
                <w:sz w:val="18"/>
                <w:szCs w:val="18"/>
              </w:rPr>
              <w:t>经营场所应当整洁、卫生。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*4.17</w:t>
            </w:r>
          </w:p>
        </w:tc>
        <w:tc>
          <w:tcPr>
            <w:tcW w:w="6025" w:type="dxa"/>
            <w:vAlign w:val="center"/>
          </w:tcPr>
          <w:p>
            <w:pPr>
              <w:spacing w:line="240" w:lineRule="exact"/>
              <w:rPr>
                <w:rFonts w:cs="Times New Roman"/>
                <w:sz w:val="18"/>
                <w:szCs w:val="18"/>
              </w:rPr>
            </w:pPr>
            <w:r>
              <w:rPr>
                <w:rFonts w:hint="eastAsia" w:cs="宋体"/>
                <w:sz w:val="18"/>
                <w:szCs w:val="18"/>
              </w:rPr>
              <w:t>库房的选址、设计、布局、建造、改造和维护是否符合医疗器械贮存的要求，能防止医疗器械的混淆、差错或被污损，并具有符合医疗器械产品特性要求的贮存设施、设备。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4.18</w:t>
            </w:r>
          </w:p>
        </w:tc>
        <w:tc>
          <w:tcPr>
            <w:tcW w:w="6025" w:type="dxa"/>
            <w:vAlign w:val="center"/>
          </w:tcPr>
          <w:p>
            <w:pPr>
              <w:spacing w:line="240" w:lineRule="exact"/>
              <w:rPr>
                <w:rFonts w:cs="Times New Roman"/>
                <w:sz w:val="18"/>
                <w:szCs w:val="18"/>
              </w:rPr>
            </w:pPr>
            <w:r>
              <w:rPr>
                <w:rFonts w:hint="eastAsia" w:cs="宋体"/>
                <w:sz w:val="18"/>
                <w:szCs w:val="18"/>
              </w:rPr>
              <w:t>有下列经营行为之一的，企业可以不单独设立医疗器械库房：</w:t>
            </w:r>
            <w:r>
              <w:rPr>
                <w:rFonts w:cs="Times New Roman"/>
                <w:sz w:val="18"/>
                <w:szCs w:val="18"/>
              </w:rPr>
              <w:br w:type="textWrapping"/>
            </w:r>
            <w:r>
              <w:rPr>
                <w:rFonts w:hint="eastAsia" w:cs="宋体"/>
                <w:sz w:val="18"/>
                <w:szCs w:val="18"/>
              </w:rPr>
              <w:t>（一）单一门店零售企业的经营场所陈列条件能符合其所经营医疗器械产品性能要求、经营场所能满足其经营规模及品种陈列需要的；</w:t>
            </w:r>
            <w:r>
              <w:rPr>
                <w:rFonts w:cs="Times New Roman"/>
                <w:sz w:val="18"/>
                <w:szCs w:val="18"/>
              </w:rPr>
              <w:br w:type="textWrapping"/>
            </w:r>
            <w:r>
              <w:rPr>
                <w:rFonts w:hint="eastAsia" w:cs="宋体"/>
                <w:sz w:val="18"/>
                <w:szCs w:val="18"/>
              </w:rPr>
              <w:t>（二）连锁零售经营医疗器械的；</w:t>
            </w:r>
            <w:r>
              <w:rPr>
                <w:rFonts w:cs="Times New Roman"/>
                <w:sz w:val="18"/>
                <w:szCs w:val="18"/>
              </w:rPr>
              <w:br w:type="textWrapping"/>
            </w:r>
            <w:r>
              <w:rPr>
                <w:rFonts w:hint="eastAsia" w:cs="宋体"/>
                <w:sz w:val="18"/>
                <w:szCs w:val="18"/>
              </w:rPr>
              <w:t>（三）全部委托为其他医疗器械生产经营企业提供贮存、配送服务的医疗器械经营企业进行存储的；</w:t>
            </w:r>
            <w:r>
              <w:rPr>
                <w:rFonts w:cs="Times New Roman"/>
                <w:sz w:val="18"/>
                <w:szCs w:val="18"/>
              </w:rPr>
              <w:br w:type="textWrapping"/>
            </w:r>
            <w:r>
              <w:rPr>
                <w:rFonts w:hint="eastAsia" w:cs="宋体"/>
                <w:sz w:val="18"/>
                <w:szCs w:val="18"/>
              </w:rPr>
              <w:t>（四）专营医疗器械软件或者医用磁共振、医用</w:t>
            </w:r>
            <w:r>
              <w:rPr>
                <w:sz w:val="18"/>
                <w:szCs w:val="18"/>
              </w:rPr>
              <w:t>X</w:t>
            </w:r>
            <w:r>
              <w:rPr>
                <w:rFonts w:hint="eastAsia" w:cs="宋体"/>
                <w:sz w:val="18"/>
                <w:szCs w:val="18"/>
              </w:rPr>
              <w:t>射线、医用高能射线、医用核素设备等大型医用设备的；</w:t>
            </w:r>
            <w:r>
              <w:rPr>
                <w:rFonts w:cs="Times New Roman"/>
                <w:sz w:val="18"/>
                <w:szCs w:val="18"/>
              </w:rPr>
              <w:br w:type="textWrapping"/>
            </w:r>
            <w:r>
              <w:rPr>
                <w:rFonts w:hint="eastAsia" w:cs="宋体"/>
                <w:sz w:val="18"/>
                <w:szCs w:val="18"/>
              </w:rPr>
              <w:t>（五）省级药品监督管理部门规定的其他可以不单独设立医疗器械库房的情形。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设施与设备</w:t>
            </w:r>
          </w:p>
        </w:tc>
        <w:tc>
          <w:tcPr>
            <w:tcW w:w="1146" w:type="dxa"/>
            <w:vAlign w:val="center"/>
          </w:tcPr>
          <w:p>
            <w:pPr>
              <w:spacing w:line="240" w:lineRule="exact"/>
              <w:rPr>
                <w:sz w:val="18"/>
                <w:szCs w:val="18"/>
              </w:rPr>
            </w:pPr>
            <w:r>
              <w:rPr>
                <w:sz w:val="18"/>
                <w:szCs w:val="18"/>
              </w:rPr>
              <w:t>4.19.1</w:t>
            </w:r>
          </w:p>
        </w:tc>
        <w:tc>
          <w:tcPr>
            <w:tcW w:w="6025" w:type="dxa"/>
            <w:vAlign w:val="center"/>
          </w:tcPr>
          <w:p>
            <w:pPr>
              <w:spacing w:line="240" w:lineRule="exact"/>
              <w:rPr>
                <w:rFonts w:cs="Times New Roman"/>
                <w:sz w:val="18"/>
                <w:szCs w:val="18"/>
              </w:rPr>
            </w:pPr>
            <w:r>
              <w:rPr>
                <w:rFonts w:hint="eastAsia" w:cs="宋体"/>
                <w:sz w:val="18"/>
                <w:szCs w:val="18"/>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4.19.2</w:t>
            </w:r>
          </w:p>
        </w:tc>
        <w:tc>
          <w:tcPr>
            <w:tcW w:w="6025" w:type="dxa"/>
            <w:vAlign w:val="center"/>
          </w:tcPr>
          <w:p>
            <w:pPr>
              <w:spacing w:line="240" w:lineRule="exact"/>
              <w:rPr>
                <w:rFonts w:cs="Times New Roman"/>
                <w:sz w:val="18"/>
                <w:szCs w:val="18"/>
              </w:rPr>
            </w:pPr>
            <w:r>
              <w:rPr>
                <w:rFonts w:hint="eastAsia" w:cs="宋体"/>
                <w:sz w:val="18"/>
                <w:szCs w:val="18"/>
              </w:rPr>
              <w:t>医疗器械贮存作业区、辅助作业区应当与办公区和生活区分开一定距离或者有隔离措施。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4.20</w:t>
            </w:r>
          </w:p>
        </w:tc>
        <w:tc>
          <w:tcPr>
            <w:tcW w:w="6025" w:type="dxa"/>
            <w:vAlign w:val="center"/>
          </w:tcPr>
          <w:p>
            <w:pPr>
              <w:spacing w:line="240" w:lineRule="exact"/>
              <w:rPr>
                <w:rFonts w:cs="Times New Roman"/>
                <w:sz w:val="18"/>
                <w:szCs w:val="18"/>
              </w:rPr>
            </w:pPr>
            <w:r>
              <w:rPr>
                <w:rFonts w:hint="eastAsia" w:cs="宋体"/>
                <w:sz w:val="18"/>
                <w:szCs w:val="18"/>
              </w:rPr>
              <w:t>企业库房的条件应当符合以下要求：</w:t>
            </w:r>
            <w:r>
              <w:rPr>
                <w:rFonts w:cs="Times New Roman"/>
                <w:sz w:val="18"/>
                <w:szCs w:val="18"/>
              </w:rPr>
              <w:br w:type="textWrapping"/>
            </w:r>
            <w:r>
              <w:rPr>
                <w:rFonts w:hint="eastAsia" w:cs="宋体"/>
                <w:sz w:val="18"/>
                <w:szCs w:val="18"/>
              </w:rPr>
              <w:t>（一）库房内外环境整洁，无污染源；</w:t>
            </w:r>
            <w:r>
              <w:rPr>
                <w:rFonts w:cs="Times New Roman"/>
                <w:sz w:val="18"/>
                <w:szCs w:val="18"/>
              </w:rPr>
              <w:br w:type="textWrapping"/>
            </w:r>
            <w:r>
              <w:rPr>
                <w:rFonts w:hint="eastAsia" w:cs="宋体"/>
                <w:sz w:val="18"/>
                <w:szCs w:val="18"/>
              </w:rPr>
              <w:t>（二）库房内墙光洁，地面平整，房屋结构严密；</w:t>
            </w:r>
            <w:r>
              <w:rPr>
                <w:rFonts w:cs="Times New Roman"/>
                <w:sz w:val="18"/>
                <w:szCs w:val="18"/>
              </w:rPr>
              <w:br w:type="textWrapping"/>
            </w:r>
            <w:r>
              <w:rPr>
                <w:rFonts w:hint="eastAsia" w:cs="宋体"/>
                <w:sz w:val="18"/>
                <w:szCs w:val="18"/>
              </w:rPr>
              <w:t>（三）有防止室外装卸、搬运、接收、发运等作业受异常天气影响的措施；</w:t>
            </w:r>
            <w:r>
              <w:rPr>
                <w:rFonts w:cs="Times New Roman"/>
                <w:sz w:val="18"/>
                <w:szCs w:val="18"/>
              </w:rPr>
              <w:br w:type="textWrapping"/>
            </w:r>
            <w:r>
              <w:rPr>
                <w:rFonts w:hint="eastAsia" w:cs="宋体"/>
                <w:sz w:val="18"/>
                <w:szCs w:val="18"/>
              </w:rPr>
              <w:t>（四）库房有可靠的安全防护措施，能够对无关人员进入实行可控管理。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4.21</w:t>
            </w:r>
          </w:p>
        </w:tc>
        <w:tc>
          <w:tcPr>
            <w:tcW w:w="6025" w:type="dxa"/>
            <w:vAlign w:val="center"/>
          </w:tcPr>
          <w:p>
            <w:pPr>
              <w:spacing w:line="240" w:lineRule="exact"/>
              <w:rPr>
                <w:rFonts w:cs="Times New Roman"/>
                <w:sz w:val="18"/>
                <w:szCs w:val="18"/>
              </w:rPr>
            </w:pPr>
            <w:r>
              <w:rPr>
                <w:rFonts w:hint="eastAsia" w:cs="宋体"/>
                <w:sz w:val="18"/>
                <w:szCs w:val="18"/>
              </w:rPr>
              <w:t>企业库房应当配备与经营范围和经营规模相适应的设施设备，包括：</w:t>
            </w:r>
            <w:r>
              <w:rPr>
                <w:rFonts w:cs="Times New Roman"/>
                <w:sz w:val="18"/>
                <w:szCs w:val="18"/>
              </w:rPr>
              <w:br w:type="textWrapping"/>
            </w:r>
            <w:r>
              <w:rPr>
                <w:rFonts w:hint="eastAsia" w:cs="宋体"/>
                <w:sz w:val="18"/>
                <w:szCs w:val="18"/>
              </w:rPr>
              <w:t>（一）医疗器械与地面之间有效隔离的设备，包括货架、托盘等；</w:t>
            </w:r>
            <w:r>
              <w:rPr>
                <w:rFonts w:cs="Times New Roman"/>
                <w:sz w:val="18"/>
                <w:szCs w:val="18"/>
              </w:rPr>
              <w:br w:type="textWrapping"/>
            </w:r>
            <w:r>
              <w:rPr>
                <w:rFonts w:hint="eastAsia" w:cs="宋体"/>
                <w:sz w:val="18"/>
                <w:szCs w:val="18"/>
              </w:rPr>
              <w:t>（二）避光、通风、防潮、防虫、防鼠等设施；</w:t>
            </w:r>
            <w:r>
              <w:rPr>
                <w:rFonts w:cs="Times New Roman"/>
                <w:sz w:val="18"/>
                <w:szCs w:val="18"/>
              </w:rPr>
              <w:br w:type="textWrapping"/>
            </w:r>
            <w:r>
              <w:rPr>
                <w:rFonts w:hint="eastAsia" w:cs="宋体"/>
                <w:sz w:val="18"/>
                <w:szCs w:val="18"/>
              </w:rPr>
              <w:t>（三）符合安全用电要求的照明设备；</w:t>
            </w:r>
            <w:r>
              <w:rPr>
                <w:rFonts w:cs="Times New Roman"/>
                <w:sz w:val="18"/>
                <w:szCs w:val="18"/>
              </w:rPr>
              <w:br w:type="textWrapping"/>
            </w:r>
            <w:r>
              <w:rPr>
                <w:rFonts w:hint="eastAsia" w:cs="宋体"/>
                <w:sz w:val="18"/>
                <w:szCs w:val="18"/>
              </w:rPr>
              <w:t>（四）包装物料的存放场所；</w:t>
            </w:r>
            <w:r>
              <w:rPr>
                <w:rFonts w:cs="Times New Roman"/>
                <w:sz w:val="18"/>
                <w:szCs w:val="18"/>
              </w:rPr>
              <w:br w:type="textWrapping"/>
            </w:r>
            <w:r>
              <w:rPr>
                <w:rFonts w:hint="eastAsia" w:cs="宋体"/>
                <w:sz w:val="18"/>
                <w:szCs w:val="18"/>
              </w:rPr>
              <w:t>（五）有特殊要求的医疗器械应配备相应的设备。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*4.22.1</w:t>
            </w:r>
          </w:p>
        </w:tc>
        <w:tc>
          <w:tcPr>
            <w:tcW w:w="6025" w:type="dxa"/>
            <w:vAlign w:val="center"/>
          </w:tcPr>
          <w:p>
            <w:pPr>
              <w:spacing w:line="240" w:lineRule="exact"/>
              <w:rPr>
                <w:rFonts w:cs="Times New Roman"/>
                <w:sz w:val="18"/>
                <w:szCs w:val="18"/>
              </w:rPr>
            </w:pPr>
            <w:r>
              <w:rPr>
                <w:rFonts w:hint="eastAsia" w:cs="宋体"/>
                <w:sz w:val="18"/>
                <w:szCs w:val="18"/>
              </w:rPr>
              <w:t>库房温度、湿度应当符合所经营医疗器械说明书或标签标示的要求。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设施与设备</w:t>
            </w:r>
          </w:p>
        </w:tc>
        <w:tc>
          <w:tcPr>
            <w:tcW w:w="1146" w:type="dxa"/>
            <w:vAlign w:val="center"/>
          </w:tcPr>
          <w:p>
            <w:pPr>
              <w:spacing w:line="240" w:lineRule="exact"/>
              <w:rPr>
                <w:sz w:val="18"/>
                <w:szCs w:val="18"/>
              </w:rPr>
            </w:pPr>
            <w:r>
              <w:rPr>
                <w:sz w:val="18"/>
                <w:szCs w:val="18"/>
              </w:rPr>
              <w:t>*4.22.2</w:t>
            </w:r>
          </w:p>
        </w:tc>
        <w:tc>
          <w:tcPr>
            <w:tcW w:w="6025" w:type="dxa"/>
            <w:vAlign w:val="center"/>
          </w:tcPr>
          <w:p>
            <w:pPr>
              <w:spacing w:line="240" w:lineRule="exact"/>
              <w:rPr>
                <w:rFonts w:cs="Times New Roman"/>
                <w:sz w:val="18"/>
                <w:szCs w:val="18"/>
              </w:rPr>
            </w:pPr>
            <w:r>
              <w:rPr>
                <w:rFonts w:hint="eastAsia" w:cs="宋体"/>
                <w:sz w:val="18"/>
                <w:szCs w:val="18"/>
              </w:rPr>
              <w:t>对有特殊温湿度贮存要求的医疗器械，应当配备有效调控及监测温湿度的设备或者仪器。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*4.23</w:t>
            </w:r>
          </w:p>
        </w:tc>
        <w:tc>
          <w:tcPr>
            <w:tcW w:w="6025" w:type="dxa"/>
            <w:vAlign w:val="center"/>
          </w:tcPr>
          <w:p>
            <w:pPr>
              <w:spacing w:line="240" w:lineRule="exact"/>
              <w:rPr>
                <w:rFonts w:cs="Times New Roman"/>
                <w:sz w:val="18"/>
                <w:szCs w:val="18"/>
              </w:rPr>
            </w:pPr>
            <w:r>
              <w:rPr>
                <w:rFonts w:hint="eastAsia" w:cs="宋体"/>
                <w:sz w:val="18"/>
                <w:szCs w:val="18"/>
              </w:rPr>
              <w:t>批发需要冷藏、冷冻贮存运输的医疗器械，应当配备以下设施设备：</w:t>
            </w:r>
            <w:r>
              <w:rPr>
                <w:rFonts w:cs="Times New Roman"/>
                <w:sz w:val="18"/>
                <w:szCs w:val="18"/>
              </w:rPr>
              <w:br w:type="textWrapping"/>
            </w:r>
            <w:r>
              <w:rPr>
                <w:rFonts w:hint="eastAsia" w:cs="宋体"/>
                <w:sz w:val="18"/>
                <w:szCs w:val="18"/>
              </w:rPr>
              <w:t>（一）与其经营规模和经营品种相适应的冷库；</w:t>
            </w:r>
            <w:r>
              <w:rPr>
                <w:rFonts w:cs="Times New Roman"/>
                <w:sz w:val="18"/>
                <w:szCs w:val="18"/>
              </w:rPr>
              <w:br w:type="textWrapping"/>
            </w:r>
            <w:r>
              <w:rPr>
                <w:rFonts w:hint="eastAsia" w:cs="宋体"/>
                <w:sz w:val="18"/>
                <w:szCs w:val="18"/>
              </w:rPr>
              <w:t>（二）用于冷库温度监测、显示、记录、调控、报警的设备；</w:t>
            </w:r>
            <w:r>
              <w:rPr>
                <w:rFonts w:cs="Times New Roman"/>
                <w:sz w:val="18"/>
                <w:szCs w:val="18"/>
              </w:rPr>
              <w:br w:type="textWrapping"/>
            </w:r>
            <w:r>
              <w:rPr>
                <w:rFonts w:hint="eastAsia" w:cs="宋体"/>
                <w:sz w:val="18"/>
                <w:szCs w:val="18"/>
              </w:rPr>
              <w:t>（三）能确保制冷设备正常运转的设施（如备用发电机组或者双回路供电系统）；</w:t>
            </w:r>
            <w:r>
              <w:rPr>
                <w:rFonts w:cs="Times New Roman"/>
                <w:sz w:val="18"/>
                <w:szCs w:val="18"/>
              </w:rPr>
              <w:br w:type="textWrapping"/>
            </w:r>
            <w:r>
              <w:rPr>
                <w:rFonts w:hint="eastAsia" w:cs="宋体"/>
                <w:sz w:val="18"/>
                <w:szCs w:val="18"/>
              </w:rPr>
              <w:t>（四）需要进行运输的企业，应根据相应的运输规模和运输环境要求配备冷藏车、保温车，或者冷藏箱、保温箱等设备；</w:t>
            </w:r>
            <w:r>
              <w:rPr>
                <w:rFonts w:cs="Times New Roman"/>
                <w:sz w:val="18"/>
                <w:szCs w:val="18"/>
              </w:rPr>
              <w:br w:type="textWrapping"/>
            </w:r>
            <w:r>
              <w:rPr>
                <w:rFonts w:hint="eastAsia" w:cs="宋体"/>
                <w:sz w:val="18"/>
                <w:szCs w:val="18"/>
              </w:rPr>
              <w:t>（五）对有特殊低温要求的医疗器械，应当配备符合其贮存要求的设施设备。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4.24</w:t>
            </w:r>
          </w:p>
        </w:tc>
        <w:tc>
          <w:tcPr>
            <w:tcW w:w="6025" w:type="dxa"/>
            <w:vAlign w:val="center"/>
          </w:tcPr>
          <w:p>
            <w:pPr>
              <w:spacing w:line="240" w:lineRule="exact"/>
              <w:rPr>
                <w:rFonts w:cs="Times New Roman"/>
                <w:sz w:val="18"/>
                <w:szCs w:val="18"/>
              </w:rPr>
            </w:pPr>
            <w:r>
              <w:rPr>
                <w:rFonts w:hint="eastAsia" w:cs="宋体"/>
                <w:sz w:val="18"/>
                <w:szCs w:val="18"/>
              </w:rPr>
              <w:t>医疗器械零售的经营场所应当与其经营医疗器械范围相适应，并符合以下要求：</w:t>
            </w:r>
            <w:r>
              <w:rPr>
                <w:rFonts w:cs="Times New Roman"/>
                <w:sz w:val="18"/>
                <w:szCs w:val="18"/>
              </w:rPr>
              <w:br w:type="textWrapping"/>
            </w:r>
            <w:r>
              <w:rPr>
                <w:rFonts w:hint="eastAsia" w:cs="宋体"/>
                <w:sz w:val="18"/>
                <w:szCs w:val="18"/>
              </w:rPr>
              <w:t>（一）配备陈列货架和柜台；</w:t>
            </w:r>
            <w:r>
              <w:rPr>
                <w:rFonts w:cs="Times New Roman"/>
                <w:sz w:val="18"/>
                <w:szCs w:val="18"/>
              </w:rPr>
              <w:br w:type="textWrapping"/>
            </w:r>
            <w:r>
              <w:rPr>
                <w:rFonts w:hint="eastAsia" w:cs="宋体"/>
                <w:sz w:val="18"/>
                <w:szCs w:val="18"/>
              </w:rPr>
              <w:t>（二）相关证照悬挂在醒目位置；</w:t>
            </w:r>
            <w:r>
              <w:rPr>
                <w:rFonts w:cs="Times New Roman"/>
                <w:sz w:val="18"/>
                <w:szCs w:val="18"/>
              </w:rPr>
              <w:br w:type="textWrapping"/>
            </w:r>
            <w:r>
              <w:rPr>
                <w:rFonts w:hint="eastAsia" w:cs="宋体"/>
                <w:sz w:val="18"/>
                <w:szCs w:val="18"/>
              </w:rPr>
              <w:t>（三）经营需要冷藏的医疗器械，是否配备具有温度监测、显示的冷柜；</w:t>
            </w:r>
            <w:r>
              <w:rPr>
                <w:rFonts w:cs="Times New Roman"/>
                <w:sz w:val="18"/>
                <w:szCs w:val="18"/>
              </w:rPr>
              <w:br w:type="textWrapping"/>
            </w:r>
            <w:r>
              <w:rPr>
                <w:rFonts w:hint="eastAsia" w:cs="宋体"/>
                <w:sz w:val="18"/>
                <w:szCs w:val="18"/>
              </w:rPr>
              <w:t>（四）经营可拆零医疗器械，是否配备医疗器械拆零销售所需的工具、包装用品。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4.25</w:t>
            </w:r>
          </w:p>
        </w:tc>
        <w:tc>
          <w:tcPr>
            <w:tcW w:w="6025" w:type="dxa"/>
            <w:vAlign w:val="center"/>
          </w:tcPr>
          <w:p>
            <w:pPr>
              <w:spacing w:line="240" w:lineRule="exact"/>
              <w:rPr>
                <w:rFonts w:cs="Times New Roman"/>
                <w:sz w:val="18"/>
                <w:szCs w:val="18"/>
              </w:rPr>
            </w:pPr>
            <w:r>
              <w:rPr>
                <w:rFonts w:hint="eastAsia" w:cs="宋体"/>
                <w:sz w:val="18"/>
                <w:szCs w:val="18"/>
              </w:rPr>
              <w:t>零售的医疗器械陈列应当符合以下要求：</w:t>
            </w:r>
            <w:r>
              <w:rPr>
                <w:rFonts w:cs="Times New Roman"/>
                <w:sz w:val="18"/>
                <w:szCs w:val="18"/>
              </w:rPr>
              <w:br w:type="textWrapping"/>
            </w:r>
            <w:r>
              <w:rPr>
                <w:rFonts w:hint="eastAsia" w:cs="宋体"/>
                <w:sz w:val="18"/>
                <w:szCs w:val="18"/>
              </w:rPr>
              <w:t>（一）按分类以及贮存要求分区陈列，并设置醒目标志，类别标签字迹清晰、放置准确；</w:t>
            </w:r>
            <w:r>
              <w:rPr>
                <w:rFonts w:cs="Times New Roman"/>
                <w:sz w:val="18"/>
                <w:szCs w:val="18"/>
              </w:rPr>
              <w:br w:type="textWrapping"/>
            </w:r>
            <w:r>
              <w:rPr>
                <w:rFonts w:hint="eastAsia" w:cs="宋体"/>
                <w:sz w:val="18"/>
                <w:szCs w:val="18"/>
              </w:rPr>
              <w:t>（二）医疗器械的摆放应整齐有序，避免阳光直射；</w:t>
            </w:r>
            <w:r>
              <w:rPr>
                <w:rFonts w:cs="Times New Roman"/>
                <w:sz w:val="18"/>
                <w:szCs w:val="18"/>
              </w:rPr>
              <w:br w:type="textWrapping"/>
            </w:r>
            <w:r>
              <w:rPr>
                <w:rFonts w:hint="eastAsia" w:cs="宋体"/>
                <w:sz w:val="18"/>
                <w:szCs w:val="18"/>
              </w:rPr>
              <w:t>（三）冷藏医疗器械放置在冷藏设备中，是否对温度进行监测和记录；</w:t>
            </w:r>
            <w:r>
              <w:rPr>
                <w:rFonts w:cs="Times New Roman"/>
                <w:sz w:val="18"/>
                <w:szCs w:val="18"/>
              </w:rPr>
              <w:br w:type="textWrapping"/>
            </w:r>
            <w:r>
              <w:rPr>
                <w:rFonts w:hint="eastAsia" w:cs="宋体"/>
                <w:sz w:val="18"/>
                <w:szCs w:val="18"/>
              </w:rPr>
              <w:t>（四）医疗器械与非医疗器械是否分开陈列，有明显隔离，并有醒目标示。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设施与设备</w:t>
            </w:r>
          </w:p>
        </w:tc>
        <w:tc>
          <w:tcPr>
            <w:tcW w:w="1146" w:type="dxa"/>
            <w:vAlign w:val="center"/>
          </w:tcPr>
          <w:p>
            <w:pPr>
              <w:spacing w:line="240" w:lineRule="exact"/>
              <w:rPr>
                <w:sz w:val="18"/>
                <w:szCs w:val="18"/>
              </w:rPr>
            </w:pPr>
            <w:r>
              <w:rPr>
                <w:sz w:val="18"/>
                <w:szCs w:val="18"/>
              </w:rPr>
              <w:t>4.26.1</w:t>
            </w:r>
          </w:p>
        </w:tc>
        <w:tc>
          <w:tcPr>
            <w:tcW w:w="6025" w:type="dxa"/>
            <w:vAlign w:val="center"/>
          </w:tcPr>
          <w:p>
            <w:pPr>
              <w:spacing w:line="240" w:lineRule="exact"/>
              <w:rPr>
                <w:rFonts w:cs="Times New Roman"/>
                <w:sz w:val="18"/>
                <w:szCs w:val="18"/>
              </w:rPr>
            </w:pPr>
            <w:r>
              <w:rPr>
                <w:rFonts w:hint="eastAsia" w:cs="宋体"/>
                <w:sz w:val="18"/>
                <w:szCs w:val="18"/>
              </w:rPr>
              <w:t>零售企业应当定期对零售陈列、存放的医疗器械进行检查，重点检查拆零医疗器械和近效期医疗器械。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*4.26.2</w:t>
            </w:r>
          </w:p>
        </w:tc>
        <w:tc>
          <w:tcPr>
            <w:tcW w:w="6025" w:type="dxa"/>
            <w:vAlign w:val="center"/>
          </w:tcPr>
          <w:p>
            <w:pPr>
              <w:spacing w:line="240" w:lineRule="exact"/>
              <w:rPr>
                <w:rFonts w:cs="Times New Roman"/>
                <w:sz w:val="18"/>
                <w:szCs w:val="18"/>
              </w:rPr>
            </w:pPr>
            <w:r>
              <w:rPr>
                <w:rFonts w:hint="eastAsia" w:cs="宋体"/>
                <w:sz w:val="18"/>
                <w:szCs w:val="18"/>
              </w:rPr>
              <w:t>零售企业发现有质量疑问的医疗器械应当及时撤柜、停止销售，由质量管理人员确认和处理，并保留相关记录。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4.27</w:t>
            </w:r>
          </w:p>
        </w:tc>
        <w:tc>
          <w:tcPr>
            <w:tcW w:w="6025" w:type="dxa"/>
            <w:vAlign w:val="center"/>
          </w:tcPr>
          <w:p>
            <w:pPr>
              <w:spacing w:line="240" w:lineRule="exact"/>
              <w:rPr>
                <w:rFonts w:cs="Times New Roman"/>
                <w:sz w:val="18"/>
                <w:szCs w:val="18"/>
              </w:rPr>
            </w:pPr>
            <w:r>
              <w:rPr>
                <w:rFonts w:hint="eastAsia" w:cs="宋体"/>
                <w:sz w:val="18"/>
                <w:szCs w:val="18"/>
              </w:rPr>
              <w:t>企业应当对基础设施及相关设备进行定期检查、清洁和维护，并建立记录和档案。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4.28</w:t>
            </w:r>
          </w:p>
        </w:tc>
        <w:tc>
          <w:tcPr>
            <w:tcW w:w="6025" w:type="dxa"/>
            <w:vAlign w:val="center"/>
          </w:tcPr>
          <w:p>
            <w:pPr>
              <w:spacing w:line="240" w:lineRule="exact"/>
              <w:rPr>
                <w:rFonts w:cs="Times New Roman"/>
                <w:sz w:val="18"/>
                <w:szCs w:val="18"/>
              </w:rPr>
            </w:pPr>
            <w:r>
              <w:rPr>
                <w:rFonts w:hint="eastAsia" w:cs="宋体"/>
                <w:sz w:val="18"/>
                <w:szCs w:val="18"/>
              </w:rPr>
              <w:t>企业应当按照国家有关规定，对温湿度监测设备等计量器具定期进行校准或者检定，并保存校准或检定记录。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设施与设备</w:t>
            </w:r>
          </w:p>
        </w:tc>
        <w:tc>
          <w:tcPr>
            <w:tcW w:w="1146" w:type="dxa"/>
            <w:vAlign w:val="center"/>
          </w:tcPr>
          <w:p>
            <w:pPr>
              <w:spacing w:line="240" w:lineRule="exact"/>
              <w:rPr>
                <w:sz w:val="18"/>
                <w:szCs w:val="18"/>
              </w:rPr>
            </w:pPr>
            <w:r>
              <w:rPr>
                <w:sz w:val="18"/>
                <w:szCs w:val="18"/>
              </w:rPr>
              <w:t>4.29</w:t>
            </w:r>
          </w:p>
        </w:tc>
        <w:tc>
          <w:tcPr>
            <w:tcW w:w="6025" w:type="dxa"/>
            <w:vAlign w:val="center"/>
          </w:tcPr>
          <w:p>
            <w:pPr>
              <w:spacing w:line="240" w:lineRule="exact"/>
              <w:rPr>
                <w:rFonts w:cs="Times New Roman"/>
                <w:sz w:val="18"/>
                <w:szCs w:val="18"/>
              </w:rPr>
            </w:pPr>
            <w:r>
              <w:rPr>
                <w:rFonts w:hint="eastAsia" w:cs="宋体"/>
                <w:sz w:val="18"/>
                <w:szCs w:val="18"/>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*4.30</w:t>
            </w:r>
          </w:p>
        </w:tc>
        <w:tc>
          <w:tcPr>
            <w:tcW w:w="6025" w:type="dxa"/>
            <w:vAlign w:val="center"/>
          </w:tcPr>
          <w:p>
            <w:pPr>
              <w:spacing w:line="240" w:lineRule="exact"/>
              <w:rPr>
                <w:rFonts w:cs="Times New Roman"/>
                <w:sz w:val="18"/>
                <w:szCs w:val="18"/>
              </w:rPr>
            </w:pPr>
            <w:r>
              <w:rPr>
                <w:rFonts w:hint="eastAsia" w:cs="宋体"/>
                <w:sz w:val="18"/>
                <w:szCs w:val="18"/>
              </w:rPr>
              <w:t>经营第三类医疗器械的企业，应当具有符合医疗器械经营质量管理要求的计算机信息管理系统，保证经营的产品可追溯。计算机信息管理系统是否具有以下功能：</w:t>
            </w:r>
            <w:r>
              <w:rPr>
                <w:rFonts w:cs="Times New Roman"/>
                <w:sz w:val="18"/>
                <w:szCs w:val="18"/>
              </w:rPr>
              <w:br w:type="textWrapping"/>
            </w:r>
            <w:r>
              <w:rPr>
                <w:rFonts w:hint="eastAsia" w:cs="宋体"/>
                <w:sz w:val="18"/>
                <w:szCs w:val="18"/>
              </w:rPr>
              <w:t>（一）具有实现部门之间、岗位之间信息传输和数据共享的功能；</w:t>
            </w:r>
            <w:r>
              <w:rPr>
                <w:rFonts w:cs="Times New Roman"/>
                <w:sz w:val="18"/>
                <w:szCs w:val="18"/>
              </w:rPr>
              <w:br w:type="textWrapping"/>
            </w:r>
            <w:r>
              <w:rPr>
                <w:rFonts w:hint="eastAsia" w:cs="宋体"/>
                <w:sz w:val="18"/>
                <w:szCs w:val="18"/>
              </w:rPr>
              <w:t>（二）具有医疗器械经营业务票据生成、打印和管理功能；</w:t>
            </w:r>
            <w:r>
              <w:rPr>
                <w:rFonts w:cs="Times New Roman"/>
                <w:sz w:val="18"/>
                <w:szCs w:val="18"/>
              </w:rPr>
              <w:br w:type="textWrapping"/>
            </w:r>
            <w:r>
              <w:rPr>
                <w:rFonts w:hint="eastAsia" w:cs="宋体"/>
                <w:sz w:val="18"/>
                <w:szCs w:val="18"/>
              </w:rPr>
              <w:t>（三）具有记录医疗器械产品信息（名称、注册证号或者备案凭证编号、规格型号、生产批号或者序列号、生产日期或者失效日期）和生产企业信息以及实现质量追溯跟踪的功能；</w:t>
            </w:r>
            <w:r>
              <w:rPr>
                <w:rFonts w:cs="Times New Roman"/>
                <w:sz w:val="18"/>
                <w:szCs w:val="18"/>
              </w:rPr>
              <w:br w:type="textWrapping"/>
            </w:r>
            <w:r>
              <w:rPr>
                <w:rFonts w:hint="eastAsia" w:cs="宋体"/>
                <w:sz w:val="18"/>
                <w:szCs w:val="18"/>
              </w:rPr>
              <w:t>（四）具有包括采购、收货、验收、贮存、检查、销售、出库、复核等各经营环节的质量控制功能，能对各经营环节进行判断、控制，确保各项质量控制功能的实时和有效；</w:t>
            </w:r>
            <w:r>
              <w:rPr>
                <w:rFonts w:cs="Times New Roman"/>
                <w:sz w:val="18"/>
                <w:szCs w:val="18"/>
              </w:rPr>
              <w:br w:type="textWrapping"/>
            </w:r>
            <w:r>
              <w:rPr>
                <w:rFonts w:hint="eastAsia" w:cs="宋体"/>
                <w:sz w:val="18"/>
                <w:szCs w:val="18"/>
              </w:rPr>
              <w:t>（五）具有供货者、购货者以及购销医疗器械的合法性、有效性审核控制功能；</w:t>
            </w:r>
            <w:r>
              <w:rPr>
                <w:rFonts w:cs="Times New Roman"/>
                <w:sz w:val="18"/>
                <w:szCs w:val="18"/>
              </w:rPr>
              <w:br w:type="textWrapping"/>
            </w:r>
            <w:r>
              <w:rPr>
                <w:rFonts w:hint="eastAsia" w:cs="宋体"/>
                <w:sz w:val="18"/>
                <w:szCs w:val="18"/>
              </w:rPr>
              <w:t>（六）具有对库存医疗器械的有效期进行自动跟踪和控制功能，有近效期预警及超过有效期自动锁定等功能，防止过期医疗器械销售。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*4.31</w:t>
            </w:r>
          </w:p>
        </w:tc>
        <w:tc>
          <w:tcPr>
            <w:tcW w:w="6025" w:type="dxa"/>
            <w:vAlign w:val="center"/>
          </w:tcPr>
          <w:p>
            <w:pPr>
              <w:spacing w:line="240" w:lineRule="exact"/>
              <w:rPr>
                <w:rFonts w:cs="Times New Roman"/>
                <w:sz w:val="18"/>
                <w:szCs w:val="18"/>
              </w:rPr>
            </w:pPr>
            <w:r>
              <w:rPr>
                <w:rFonts w:hint="eastAsia" w:cs="宋体"/>
                <w:sz w:val="18"/>
                <w:szCs w:val="18"/>
              </w:rPr>
              <w:t>企业为其他医疗器械生产经营企业提供贮存、配送服务，应当还符合以下要求：</w:t>
            </w:r>
            <w:r>
              <w:rPr>
                <w:rFonts w:cs="Times New Roman"/>
                <w:sz w:val="18"/>
                <w:szCs w:val="18"/>
              </w:rPr>
              <w:br w:type="textWrapping"/>
            </w:r>
            <w:r>
              <w:rPr>
                <w:rFonts w:hint="eastAsia" w:cs="宋体"/>
                <w:sz w:val="18"/>
                <w:szCs w:val="18"/>
              </w:rPr>
              <w:t>（一）具备从事现代物流储运业务的条件；</w:t>
            </w:r>
            <w:r>
              <w:rPr>
                <w:rFonts w:cs="Times New Roman"/>
                <w:sz w:val="18"/>
                <w:szCs w:val="18"/>
              </w:rPr>
              <w:br w:type="textWrapping"/>
            </w:r>
            <w:r>
              <w:rPr>
                <w:rFonts w:hint="eastAsia" w:cs="宋体"/>
                <w:sz w:val="18"/>
                <w:szCs w:val="18"/>
              </w:rPr>
              <w:t>（二）具有与委托方实施实时电子数据交换和实现产品经营全过程可追溯、可追踪管理的计算机信息平台和技术手段；</w:t>
            </w:r>
            <w:r>
              <w:rPr>
                <w:rFonts w:cs="Times New Roman"/>
                <w:sz w:val="18"/>
                <w:szCs w:val="18"/>
              </w:rPr>
              <w:br w:type="textWrapping"/>
            </w:r>
            <w:r>
              <w:rPr>
                <w:rFonts w:hint="eastAsia" w:cs="宋体"/>
                <w:sz w:val="18"/>
                <w:szCs w:val="18"/>
              </w:rPr>
              <w:t>（三）具有接受市场监管电子监管的数据接口；</w:t>
            </w:r>
            <w:r>
              <w:rPr>
                <w:rFonts w:cs="Times New Roman"/>
                <w:sz w:val="18"/>
                <w:szCs w:val="18"/>
              </w:rPr>
              <w:br w:type="textWrapping"/>
            </w:r>
            <w:r>
              <w:rPr>
                <w:rFonts w:hint="eastAsia" w:cs="宋体"/>
                <w:sz w:val="18"/>
                <w:szCs w:val="18"/>
              </w:rPr>
              <w:t>（四）市场监管部门的其他有关要求。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采购收货与验收</w:t>
            </w:r>
          </w:p>
        </w:tc>
        <w:tc>
          <w:tcPr>
            <w:tcW w:w="1146" w:type="dxa"/>
            <w:vAlign w:val="center"/>
          </w:tcPr>
          <w:p>
            <w:pPr>
              <w:spacing w:line="240" w:lineRule="exact"/>
              <w:rPr>
                <w:sz w:val="18"/>
                <w:szCs w:val="18"/>
              </w:rPr>
            </w:pPr>
            <w:r>
              <w:rPr>
                <w:sz w:val="18"/>
                <w:szCs w:val="18"/>
              </w:rPr>
              <w:t>*5.32.1</w:t>
            </w:r>
          </w:p>
        </w:tc>
        <w:tc>
          <w:tcPr>
            <w:tcW w:w="6025" w:type="dxa"/>
            <w:vAlign w:val="center"/>
          </w:tcPr>
          <w:p>
            <w:pPr>
              <w:spacing w:line="240" w:lineRule="exact"/>
              <w:rPr>
                <w:rFonts w:cs="Times New Roman"/>
                <w:sz w:val="18"/>
                <w:szCs w:val="18"/>
              </w:rPr>
            </w:pPr>
            <w:r>
              <w:rPr>
                <w:rFonts w:hint="eastAsia" w:cs="宋体"/>
                <w:sz w:val="18"/>
                <w:szCs w:val="18"/>
              </w:rPr>
              <w:t>企业在采购前应当审核供货者的合法资格、所购入医疗器械的合法性并获取加盖供货者公章的相关证明文件或复印件，包括：</w:t>
            </w:r>
            <w:r>
              <w:rPr>
                <w:rFonts w:cs="Times New Roman"/>
                <w:sz w:val="18"/>
                <w:szCs w:val="18"/>
              </w:rPr>
              <w:br w:type="textWrapping"/>
            </w:r>
            <w:r>
              <w:rPr>
                <w:rFonts w:hint="eastAsia" w:cs="宋体"/>
                <w:sz w:val="18"/>
                <w:szCs w:val="18"/>
              </w:rPr>
              <w:t>（一）营业执照；</w:t>
            </w:r>
            <w:r>
              <w:rPr>
                <w:rFonts w:cs="Times New Roman"/>
                <w:sz w:val="18"/>
                <w:szCs w:val="18"/>
              </w:rPr>
              <w:br w:type="textWrapping"/>
            </w:r>
            <w:r>
              <w:rPr>
                <w:rFonts w:hint="eastAsia" w:cs="宋体"/>
                <w:sz w:val="18"/>
                <w:szCs w:val="18"/>
              </w:rPr>
              <w:t>（二）医疗器械生产许可证或者经营许可证或者备案凭证；</w:t>
            </w:r>
            <w:r>
              <w:rPr>
                <w:rFonts w:cs="Times New Roman"/>
                <w:sz w:val="18"/>
                <w:szCs w:val="18"/>
              </w:rPr>
              <w:br w:type="textWrapping"/>
            </w:r>
            <w:r>
              <w:rPr>
                <w:rFonts w:hint="eastAsia" w:cs="宋体"/>
                <w:sz w:val="18"/>
                <w:szCs w:val="18"/>
              </w:rPr>
              <w:t>（三）医疗器械注册证或者备案凭证；</w:t>
            </w:r>
            <w:r>
              <w:rPr>
                <w:rFonts w:cs="Times New Roman"/>
                <w:sz w:val="18"/>
                <w:szCs w:val="18"/>
              </w:rPr>
              <w:br w:type="textWrapping"/>
            </w:r>
            <w:r>
              <w:rPr>
                <w:rFonts w:hint="eastAsia" w:cs="宋体"/>
                <w:sz w:val="18"/>
                <w:szCs w:val="18"/>
              </w:rPr>
              <w:t>（四）销售人员身份证复印件，加盖本企业公章的授权书原件。授权书是否载明授权销售的品种、地域、期限，注明销售人员的身份证号码。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5.32.2</w:t>
            </w:r>
          </w:p>
        </w:tc>
        <w:tc>
          <w:tcPr>
            <w:tcW w:w="6025" w:type="dxa"/>
            <w:vAlign w:val="center"/>
          </w:tcPr>
          <w:p>
            <w:pPr>
              <w:spacing w:line="240" w:lineRule="exact"/>
              <w:rPr>
                <w:rFonts w:cs="Times New Roman"/>
                <w:sz w:val="18"/>
                <w:szCs w:val="18"/>
              </w:rPr>
            </w:pPr>
            <w:r>
              <w:rPr>
                <w:rFonts w:hint="eastAsia" w:cs="宋体"/>
                <w:sz w:val="18"/>
                <w:szCs w:val="18"/>
              </w:rPr>
              <w:t>如有必要，企业应当派人员到供货者进行现场核查，对供货者质量管理情况进行评价。发现供货方存在违法违规经营行为时，应当及时向企业所在地市场监管部门报告。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5.33</w:t>
            </w:r>
          </w:p>
        </w:tc>
        <w:tc>
          <w:tcPr>
            <w:tcW w:w="6025" w:type="dxa"/>
            <w:vAlign w:val="center"/>
          </w:tcPr>
          <w:p>
            <w:pPr>
              <w:spacing w:line="240" w:lineRule="exact"/>
              <w:rPr>
                <w:rFonts w:cs="Times New Roman"/>
                <w:sz w:val="18"/>
                <w:szCs w:val="18"/>
              </w:rPr>
            </w:pPr>
            <w:r>
              <w:rPr>
                <w:rFonts w:hint="eastAsia" w:cs="宋体"/>
                <w:sz w:val="18"/>
                <w:szCs w:val="18"/>
              </w:rPr>
              <w:t>企业应当与供货者签署采购合同或者协议，明确医疗器械的名称、规格（型号）、注册证号或者备案凭证编号、生产企业、供货者、数量、单价、金额等。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采购收货与验收</w:t>
            </w:r>
          </w:p>
        </w:tc>
        <w:tc>
          <w:tcPr>
            <w:tcW w:w="1146" w:type="dxa"/>
            <w:vAlign w:val="center"/>
          </w:tcPr>
          <w:p>
            <w:pPr>
              <w:spacing w:line="240" w:lineRule="exact"/>
              <w:rPr>
                <w:sz w:val="18"/>
                <w:szCs w:val="18"/>
              </w:rPr>
            </w:pPr>
            <w:r>
              <w:rPr>
                <w:sz w:val="18"/>
                <w:szCs w:val="18"/>
              </w:rPr>
              <w:t>5.34</w:t>
            </w:r>
          </w:p>
        </w:tc>
        <w:tc>
          <w:tcPr>
            <w:tcW w:w="6025" w:type="dxa"/>
            <w:vAlign w:val="center"/>
          </w:tcPr>
          <w:p>
            <w:pPr>
              <w:spacing w:line="240" w:lineRule="exact"/>
              <w:rPr>
                <w:rFonts w:cs="Times New Roman"/>
                <w:sz w:val="18"/>
                <w:szCs w:val="18"/>
              </w:rPr>
            </w:pPr>
            <w:r>
              <w:rPr>
                <w:rFonts w:hint="eastAsia" w:cs="宋体"/>
                <w:sz w:val="18"/>
                <w:szCs w:val="18"/>
              </w:rPr>
              <w:t>企业应当在采购合同或协议中，与供货者约定质量责任和售后服务责任，以保证医疗器械售后的安全使用。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*5.35</w:t>
            </w:r>
          </w:p>
        </w:tc>
        <w:tc>
          <w:tcPr>
            <w:tcW w:w="6025" w:type="dxa"/>
            <w:vAlign w:val="center"/>
          </w:tcPr>
          <w:p>
            <w:pPr>
              <w:spacing w:line="240" w:lineRule="exact"/>
              <w:rPr>
                <w:rFonts w:cs="Times New Roman"/>
                <w:sz w:val="18"/>
                <w:szCs w:val="18"/>
              </w:rPr>
            </w:pPr>
            <w:r>
              <w:rPr>
                <w:rFonts w:hint="eastAsia" w:cs="宋体"/>
                <w:sz w:val="18"/>
                <w:szCs w:val="18"/>
              </w:rPr>
              <w:t>企业采购记录应当列明医疗器械的名称、规格（型号）、注册证号或备案凭证号、单位、数量、单价、金额、供货者、购货日期等。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5.36.1</w:t>
            </w:r>
          </w:p>
        </w:tc>
        <w:tc>
          <w:tcPr>
            <w:tcW w:w="6025" w:type="dxa"/>
            <w:vAlign w:val="center"/>
          </w:tcPr>
          <w:p>
            <w:pPr>
              <w:spacing w:line="240" w:lineRule="exact"/>
              <w:rPr>
                <w:rFonts w:cs="Times New Roman"/>
                <w:sz w:val="18"/>
                <w:szCs w:val="18"/>
              </w:rPr>
            </w:pPr>
            <w:r>
              <w:rPr>
                <w:rFonts w:hint="eastAsia" w:cs="宋体"/>
                <w:sz w:val="18"/>
                <w:szCs w:val="18"/>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5.36.2</w:t>
            </w:r>
          </w:p>
        </w:tc>
        <w:tc>
          <w:tcPr>
            <w:tcW w:w="6025" w:type="dxa"/>
            <w:vAlign w:val="center"/>
          </w:tcPr>
          <w:p>
            <w:pPr>
              <w:spacing w:line="240" w:lineRule="exact"/>
              <w:rPr>
                <w:rFonts w:cs="Times New Roman"/>
                <w:sz w:val="18"/>
                <w:szCs w:val="18"/>
              </w:rPr>
            </w:pPr>
            <w:r>
              <w:rPr>
                <w:rFonts w:hint="eastAsia" w:cs="宋体"/>
                <w:sz w:val="18"/>
                <w:szCs w:val="18"/>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5.37</w:t>
            </w:r>
          </w:p>
        </w:tc>
        <w:tc>
          <w:tcPr>
            <w:tcW w:w="6025" w:type="dxa"/>
            <w:vAlign w:val="center"/>
          </w:tcPr>
          <w:p>
            <w:pPr>
              <w:spacing w:line="240" w:lineRule="exact"/>
              <w:rPr>
                <w:rFonts w:cs="Times New Roman"/>
                <w:sz w:val="18"/>
                <w:szCs w:val="18"/>
              </w:rPr>
            </w:pPr>
            <w:r>
              <w:rPr>
                <w:rFonts w:hint="eastAsia" w:cs="宋体"/>
                <w:sz w:val="18"/>
                <w:szCs w:val="18"/>
              </w:rPr>
              <w:t>收货人员对符合收货要求的医疗器械，应当按品种特性要求放于相应待验区域，或者设置状态标示，并通知验收人员进行验收。冷藏、冷冻医疗器械应当在冷库内待验。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*5.38.1</w:t>
            </w:r>
          </w:p>
        </w:tc>
        <w:tc>
          <w:tcPr>
            <w:tcW w:w="6025" w:type="dxa"/>
            <w:vAlign w:val="center"/>
          </w:tcPr>
          <w:p>
            <w:pPr>
              <w:spacing w:line="240" w:lineRule="exact"/>
              <w:rPr>
                <w:rFonts w:cs="Times New Roman"/>
                <w:sz w:val="18"/>
                <w:szCs w:val="18"/>
              </w:rPr>
            </w:pPr>
            <w:r>
              <w:rPr>
                <w:rFonts w:hint="eastAsia" w:cs="宋体"/>
                <w:sz w:val="18"/>
                <w:szCs w:val="18"/>
              </w:rPr>
              <w:t>验收人员应当对医疗器械的外观、包装、标签以及合格证明文件等进行检查、核对，并做好验收记录。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采购收货与验收</w:t>
            </w:r>
          </w:p>
        </w:tc>
        <w:tc>
          <w:tcPr>
            <w:tcW w:w="1146" w:type="dxa"/>
            <w:vAlign w:val="center"/>
          </w:tcPr>
          <w:p>
            <w:pPr>
              <w:spacing w:line="240" w:lineRule="exact"/>
              <w:rPr>
                <w:sz w:val="18"/>
                <w:szCs w:val="18"/>
              </w:rPr>
            </w:pPr>
            <w:r>
              <w:rPr>
                <w:sz w:val="18"/>
                <w:szCs w:val="18"/>
              </w:rPr>
              <w:t>5.38.2</w:t>
            </w:r>
          </w:p>
        </w:tc>
        <w:tc>
          <w:tcPr>
            <w:tcW w:w="6025" w:type="dxa"/>
            <w:vAlign w:val="center"/>
          </w:tcPr>
          <w:p>
            <w:pPr>
              <w:spacing w:line="240" w:lineRule="exact"/>
              <w:rPr>
                <w:rFonts w:cs="Times New Roman"/>
                <w:sz w:val="18"/>
                <w:szCs w:val="18"/>
              </w:rPr>
            </w:pPr>
            <w:r>
              <w:rPr>
                <w:rFonts w:hint="eastAsia" w:cs="宋体"/>
                <w:sz w:val="18"/>
                <w:szCs w:val="18"/>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5.38.3</w:t>
            </w:r>
          </w:p>
        </w:tc>
        <w:tc>
          <w:tcPr>
            <w:tcW w:w="6025" w:type="dxa"/>
            <w:vAlign w:val="center"/>
          </w:tcPr>
          <w:p>
            <w:pPr>
              <w:spacing w:line="240" w:lineRule="exact"/>
              <w:rPr>
                <w:rFonts w:cs="Times New Roman"/>
                <w:sz w:val="18"/>
                <w:szCs w:val="18"/>
              </w:rPr>
            </w:pPr>
            <w:r>
              <w:rPr>
                <w:rFonts w:hint="eastAsia" w:cs="宋体"/>
                <w:sz w:val="18"/>
                <w:szCs w:val="18"/>
              </w:rPr>
              <w:t>验收不合格的应当注明不合格事项及处置措施。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*5.39</w:t>
            </w:r>
          </w:p>
        </w:tc>
        <w:tc>
          <w:tcPr>
            <w:tcW w:w="6025" w:type="dxa"/>
            <w:vAlign w:val="center"/>
          </w:tcPr>
          <w:p>
            <w:pPr>
              <w:spacing w:line="240" w:lineRule="exact"/>
              <w:rPr>
                <w:rFonts w:cs="Times New Roman"/>
                <w:sz w:val="18"/>
                <w:szCs w:val="18"/>
              </w:rPr>
            </w:pPr>
            <w:r>
              <w:rPr>
                <w:rFonts w:hint="eastAsia" w:cs="宋体"/>
                <w:sz w:val="18"/>
                <w:szCs w:val="18"/>
              </w:rPr>
              <w:t>对需要冷藏、冷冻的医疗器械进行验收时，应当对其运输方式及运输过程的温度记录、运输时间、到货温度等质量控制状况进行重点检查并记录，不符合温度要求的应当拒收。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5.40</w:t>
            </w:r>
          </w:p>
        </w:tc>
        <w:tc>
          <w:tcPr>
            <w:tcW w:w="6025" w:type="dxa"/>
            <w:vAlign w:val="center"/>
          </w:tcPr>
          <w:p>
            <w:pPr>
              <w:spacing w:line="240" w:lineRule="exact"/>
              <w:rPr>
                <w:rFonts w:cs="Times New Roman"/>
                <w:sz w:val="18"/>
                <w:szCs w:val="18"/>
              </w:rPr>
            </w:pPr>
            <w:r>
              <w:rPr>
                <w:rFonts w:hint="eastAsia" w:cs="宋体"/>
                <w:sz w:val="18"/>
                <w:szCs w:val="18"/>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Align w:val="center"/>
          </w:tcPr>
          <w:p>
            <w:pPr>
              <w:spacing w:line="240" w:lineRule="exact"/>
              <w:rPr>
                <w:rFonts w:cs="Times New Roman"/>
                <w:sz w:val="18"/>
                <w:szCs w:val="18"/>
              </w:rPr>
            </w:pPr>
            <w:r>
              <w:rPr>
                <w:rFonts w:hint="eastAsia" w:cs="宋体"/>
                <w:sz w:val="18"/>
                <w:szCs w:val="18"/>
              </w:rPr>
              <w:t>入库贮存与检查</w:t>
            </w:r>
          </w:p>
        </w:tc>
        <w:tc>
          <w:tcPr>
            <w:tcW w:w="1146" w:type="dxa"/>
            <w:vAlign w:val="center"/>
          </w:tcPr>
          <w:p>
            <w:pPr>
              <w:spacing w:line="240" w:lineRule="exact"/>
              <w:rPr>
                <w:sz w:val="18"/>
                <w:szCs w:val="18"/>
              </w:rPr>
            </w:pPr>
            <w:r>
              <w:rPr>
                <w:sz w:val="18"/>
                <w:szCs w:val="18"/>
              </w:rPr>
              <w:t>6.41</w:t>
            </w:r>
          </w:p>
        </w:tc>
        <w:tc>
          <w:tcPr>
            <w:tcW w:w="6025" w:type="dxa"/>
            <w:vAlign w:val="center"/>
          </w:tcPr>
          <w:p>
            <w:pPr>
              <w:spacing w:line="240" w:lineRule="exact"/>
              <w:rPr>
                <w:rFonts w:cs="Times New Roman"/>
                <w:sz w:val="18"/>
                <w:szCs w:val="18"/>
              </w:rPr>
            </w:pPr>
            <w:r>
              <w:rPr>
                <w:rFonts w:hint="eastAsia" w:cs="宋体"/>
                <w:sz w:val="18"/>
                <w:szCs w:val="18"/>
              </w:rPr>
              <w:t>企业应当建立入库记录，验收合格的医疗器械是否及时入库登记；验收不合格的，应当注明不合格事项，并放置在不合格品区</w:t>
            </w:r>
            <w:r>
              <w:rPr>
                <w:sz w:val="18"/>
                <w:szCs w:val="18"/>
              </w:rPr>
              <w:t>,</w:t>
            </w:r>
            <w:r>
              <w:rPr>
                <w:rFonts w:hint="eastAsia" w:cs="宋体"/>
                <w:sz w:val="18"/>
                <w:szCs w:val="18"/>
              </w:rPr>
              <w:t>按照有关规定采取退货、销毁等处置措施。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入库贮存与检查</w:t>
            </w:r>
          </w:p>
        </w:tc>
        <w:tc>
          <w:tcPr>
            <w:tcW w:w="1146" w:type="dxa"/>
            <w:vAlign w:val="center"/>
          </w:tcPr>
          <w:p>
            <w:pPr>
              <w:spacing w:line="240" w:lineRule="exact"/>
              <w:rPr>
                <w:sz w:val="18"/>
                <w:szCs w:val="18"/>
              </w:rPr>
            </w:pPr>
            <w:r>
              <w:rPr>
                <w:sz w:val="18"/>
                <w:szCs w:val="18"/>
              </w:rPr>
              <w:t>6.42</w:t>
            </w:r>
          </w:p>
        </w:tc>
        <w:tc>
          <w:tcPr>
            <w:tcW w:w="6025" w:type="dxa"/>
            <w:vAlign w:val="center"/>
          </w:tcPr>
          <w:p>
            <w:pPr>
              <w:spacing w:line="240" w:lineRule="exact"/>
              <w:rPr>
                <w:rFonts w:cs="Times New Roman"/>
                <w:sz w:val="18"/>
                <w:szCs w:val="18"/>
              </w:rPr>
            </w:pPr>
            <w:r>
              <w:rPr>
                <w:rFonts w:hint="eastAsia" w:cs="宋体"/>
                <w:sz w:val="18"/>
                <w:szCs w:val="18"/>
              </w:rPr>
              <w:t>企业应当根据医疗器械的质量特性进行合理贮存，并符合以下要求：</w:t>
            </w:r>
            <w:r>
              <w:rPr>
                <w:rFonts w:cs="Times New Roman"/>
                <w:sz w:val="18"/>
                <w:szCs w:val="18"/>
              </w:rPr>
              <w:br w:type="textWrapping"/>
            </w:r>
            <w:r>
              <w:rPr>
                <w:rFonts w:hint="eastAsia" w:cs="宋体"/>
                <w:sz w:val="18"/>
                <w:szCs w:val="18"/>
              </w:rPr>
              <w:t>（一）按说明书或包装标示的贮存要求贮存医疗器械；</w:t>
            </w:r>
            <w:r>
              <w:rPr>
                <w:rFonts w:cs="Times New Roman"/>
                <w:sz w:val="18"/>
                <w:szCs w:val="18"/>
              </w:rPr>
              <w:br w:type="textWrapping"/>
            </w:r>
            <w:r>
              <w:rPr>
                <w:rFonts w:hint="eastAsia" w:cs="宋体"/>
                <w:sz w:val="18"/>
                <w:szCs w:val="18"/>
              </w:rPr>
              <w:t>（二）贮存医疗器械是否按照要求采取避光、通风、防潮、防虫、防鼠、防火等措施；</w:t>
            </w:r>
            <w:r>
              <w:rPr>
                <w:rFonts w:cs="Times New Roman"/>
                <w:sz w:val="18"/>
                <w:szCs w:val="18"/>
              </w:rPr>
              <w:br w:type="textWrapping"/>
            </w:r>
            <w:r>
              <w:rPr>
                <w:rFonts w:hint="eastAsia" w:cs="宋体"/>
                <w:sz w:val="18"/>
                <w:szCs w:val="18"/>
              </w:rPr>
              <w:t>（三）搬运和堆垛医疗器械是否按照包装标示要求规范操作，堆垛高度符合包装图示要求，避免损坏医疗器械包装；</w:t>
            </w:r>
            <w:r>
              <w:rPr>
                <w:rFonts w:cs="Times New Roman"/>
                <w:sz w:val="18"/>
                <w:szCs w:val="18"/>
              </w:rPr>
              <w:br w:type="textWrapping"/>
            </w:r>
            <w:r>
              <w:rPr>
                <w:rFonts w:hint="eastAsia" w:cs="宋体"/>
                <w:sz w:val="18"/>
                <w:szCs w:val="18"/>
              </w:rPr>
              <w:t>（四）按照医疗器械的贮存要求分库（区）、分类存放，医疗器械与非医疗器械是否分开存放；</w:t>
            </w:r>
            <w:r>
              <w:rPr>
                <w:rFonts w:cs="Times New Roman"/>
                <w:sz w:val="18"/>
                <w:szCs w:val="18"/>
              </w:rPr>
              <w:br w:type="textWrapping"/>
            </w:r>
            <w:r>
              <w:rPr>
                <w:rFonts w:hint="eastAsia" w:cs="宋体"/>
                <w:sz w:val="18"/>
                <w:szCs w:val="18"/>
              </w:rPr>
              <w:t>（五）医疗器械是否按规格、批号分开存放，医疗器械与库房地面、内墙、顶、灯、温度调控设备及管道等设施间保留有足够空隙；</w:t>
            </w:r>
            <w:r>
              <w:rPr>
                <w:rFonts w:cs="Times New Roman"/>
                <w:sz w:val="18"/>
                <w:szCs w:val="18"/>
              </w:rPr>
              <w:br w:type="textWrapping"/>
            </w:r>
            <w:r>
              <w:rPr>
                <w:rFonts w:hint="eastAsia" w:cs="宋体"/>
                <w:sz w:val="18"/>
                <w:szCs w:val="18"/>
              </w:rPr>
              <w:t>（六）贮存医疗器械的货架、托盘等设施设备是否保持清洁，无破损；</w:t>
            </w:r>
            <w:r>
              <w:rPr>
                <w:rFonts w:cs="Times New Roman"/>
                <w:sz w:val="18"/>
                <w:szCs w:val="18"/>
              </w:rPr>
              <w:br w:type="textWrapping"/>
            </w:r>
            <w:r>
              <w:rPr>
                <w:rFonts w:hint="eastAsia" w:cs="宋体"/>
                <w:sz w:val="18"/>
                <w:szCs w:val="18"/>
              </w:rPr>
              <w:t>（七）非作业区工作人员未经批准不得进入贮存作业区，贮存作业区内的工作人员不得有影响医疗器械质量的行为；</w:t>
            </w:r>
            <w:r>
              <w:rPr>
                <w:rFonts w:cs="Times New Roman"/>
                <w:sz w:val="18"/>
                <w:szCs w:val="18"/>
              </w:rPr>
              <w:br w:type="textWrapping"/>
            </w:r>
            <w:r>
              <w:rPr>
                <w:rFonts w:hint="eastAsia" w:cs="宋体"/>
                <w:sz w:val="18"/>
                <w:szCs w:val="18"/>
              </w:rPr>
              <w:t>（八）医疗器械贮存作业区内不得存放与贮存管理无关的物品。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6.43</w:t>
            </w:r>
          </w:p>
        </w:tc>
        <w:tc>
          <w:tcPr>
            <w:tcW w:w="6025" w:type="dxa"/>
            <w:vAlign w:val="center"/>
          </w:tcPr>
          <w:p>
            <w:pPr>
              <w:spacing w:line="240" w:lineRule="exact"/>
              <w:rPr>
                <w:rFonts w:cs="Times New Roman"/>
                <w:sz w:val="18"/>
                <w:szCs w:val="18"/>
              </w:rPr>
            </w:pPr>
            <w:r>
              <w:rPr>
                <w:rFonts w:hint="eastAsia" w:cs="宋体"/>
                <w:sz w:val="18"/>
                <w:szCs w:val="18"/>
              </w:rPr>
              <w:t>从事为其他医疗器械生产经营企业提供贮存、配送服务的医疗器械经营企业，其自营医疗器械应当与委托的医疗器械应当分开存放。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入库贮存与检查</w:t>
            </w:r>
          </w:p>
        </w:tc>
        <w:tc>
          <w:tcPr>
            <w:tcW w:w="1146" w:type="dxa"/>
            <w:vAlign w:val="center"/>
          </w:tcPr>
          <w:p>
            <w:pPr>
              <w:spacing w:line="240" w:lineRule="exact"/>
              <w:rPr>
                <w:sz w:val="18"/>
                <w:szCs w:val="18"/>
              </w:rPr>
            </w:pPr>
            <w:r>
              <w:rPr>
                <w:sz w:val="18"/>
                <w:szCs w:val="18"/>
              </w:rPr>
              <w:t>6.44</w:t>
            </w:r>
          </w:p>
        </w:tc>
        <w:tc>
          <w:tcPr>
            <w:tcW w:w="6025" w:type="dxa"/>
            <w:vAlign w:val="center"/>
          </w:tcPr>
          <w:p>
            <w:pPr>
              <w:spacing w:line="240" w:lineRule="exact"/>
              <w:rPr>
                <w:rFonts w:cs="Times New Roman"/>
                <w:sz w:val="18"/>
                <w:szCs w:val="18"/>
              </w:rPr>
            </w:pPr>
            <w:r>
              <w:rPr>
                <w:rFonts w:hint="eastAsia" w:cs="宋体"/>
                <w:sz w:val="18"/>
                <w:szCs w:val="18"/>
              </w:rPr>
              <w:t>企业应当根据库房条件、外部环境、医疗器械有效期要求等对医疗器械进行定期检查，建立检查记录。内容包括：</w:t>
            </w:r>
            <w:r>
              <w:rPr>
                <w:rFonts w:cs="Times New Roman"/>
                <w:sz w:val="18"/>
                <w:szCs w:val="18"/>
              </w:rPr>
              <w:br w:type="textWrapping"/>
            </w:r>
            <w:r>
              <w:rPr>
                <w:rFonts w:hint="eastAsia" w:cs="宋体"/>
                <w:sz w:val="18"/>
                <w:szCs w:val="18"/>
              </w:rPr>
              <w:t>（一）检查并改善贮存与作业流程；</w:t>
            </w:r>
            <w:r>
              <w:rPr>
                <w:rFonts w:cs="Times New Roman"/>
                <w:sz w:val="18"/>
                <w:szCs w:val="18"/>
              </w:rPr>
              <w:br w:type="textWrapping"/>
            </w:r>
            <w:r>
              <w:rPr>
                <w:rFonts w:hint="eastAsia" w:cs="宋体"/>
                <w:sz w:val="18"/>
                <w:szCs w:val="18"/>
              </w:rPr>
              <w:t>（二）检查并改善贮存条件、防护措施、卫生环境；</w:t>
            </w:r>
            <w:r>
              <w:rPr>
                <w:rFonts w:cs="Times New Roman"/>
                <w:sz w:val="18"/>
                <w:szCs w:val="18"/>
              </w:rPr>
              <w:br w:type="textWrapping"/>
            </w:r>
            <w:r>
              <w:rPr>
                <w:rFonts w:hint="eastAsia" w:cs="宋体"/>
                <w:sz w:val="18"/>
                <w:szCs w:val="18"/>
              </w:rPr>
              <w:t>（三）每天上、下午不少于</w:t>
            </w:r>
            <w:r>
              <w:rPr>
                <w:sz w:val="18"/>
                <w:szCs w:val="18"/>
              </w:rPr>
              <w:t>2</w:t>
            </w:r>
            <w:r>
              <w:rPr>
                <w:rFonts w:hint="eastAsia" w:cs="宋体"/>
                <w:sz w:val="18"/>
                <w:szCs w:val="18"/>
              </w:rPr>
              <w:t>次对库房温湿度进行监测记录；</w:t>
            </w:r>
            <w:r>
              <w:rPr>
                <w:rFonts w:cs="Times New Roman"/>
                <w:sz w:val="18"/>
                <w:szCs w:val="18"/>
              </w:rPr>
              <w:br w:type="textWrapping"/>
            </w:r>
            <w:r>
              <w:rPr>
                <w:rFonts w:hint="eastAsia" w:cs="宋体"/>
                <w:sz w:val="18"/>
                <w:szCs w:val="18"/>
              </w:rPr>
              <w:t>（四）对库存医疗器械的外观、包装、有效期等质量状况进行检查；</w:t>
            </w:r>
            <w:r>
              <w:rPr>
                <w:rFonts w:cs="Times New Roman"/>
                <w:sz w:val="18"/>
                <w:szCs w:val="18"/>
              </w:rPr>
              <w:br w:type="textWrapping"/>
            </w:r>
            <w:r>
              <w:rPr>
                <w:rFonts w:hint="eastAsia" w:cs="宋体"/>
                <w:sz w:val="18"/>
                <w:szCs w:val="18"/>
              </w:rPr>
              <w:t>（五）对冷库温度自动报警装置进行检查、保养。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6.45.1</w:t>
            </w:r>
          </w:p>
        </w:tc>
        <w:tc>
          <w:tcPr>
            <w:tcW w:w="6025" w:type="dxa"/>
            <w:vAlign w:val="center"/>
          </w:tcPr>
          <w:p>
            <w:pPr>
              <w:spacing w:line="240" w:lineRule="exact"/>
              <w:rPr>
                <w:rFonts w:cs="Times New Roman"/>
                <w:sz w:val="18"/>
                <w:szCs w:val="18"/>
              </w:rPr>
            </w:pPr>
            <w:r>
              <w:rPr>
                <w:rFonts w:hint="eastAsia" w:cs="宋体"/>
                <w:sz w:val="18"/>
                <w:szCs w:val="18"/>
              </w:rPr>
              <w:t>企业应当对库存医疗器械有效期进行跟踪和控制，采取近效期预警，超过有效期的医疗器械，应当放置在不合格品区，按规定进行销毁，并保存相关记录。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*6.45.2</w:t>
            </w:r>
          </w:p>
        </w:tc>
        <w:tc>
          <w:tcPr>
            <w:tcW w:w="6025" w:type="dxa"/>
            <w:vAlign w:val="center"/>
          </w:tcPr>
          <w:p>
            <w:pPr>
              <w:spacing w:line="240" w:lineRule="exact"/>
              <w:rPr>
                <w:rFonts w:cs="Times New Roman"/>
                <w:sz w:val="18"/>
                <w:szCs w:val="18"/>
              </w:rPr>
            </w:pPr>
            <w:r>
              <w:rPr>
                <w:rFonts w:hint="eastAsia" w:cs="宋体"/>
                <w:sz w:val="18"/>
                <w:szCs w:val="18"/>
              </w:rPr>
              <w:t>超过有效期的医疗器械，应当禁止销售。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6.46</w:t>
            </w:r>
          </w:p>
        </w:tc>
        <w:tc>
          <w:tcPr>
            <w:tcW w:w="6025" w:type="dxa"/>
            <w:vAlign w:val="center"/>
          </w:tcPr>
          <w:p>
            <w:pPr>
              <w:spacing w:line="240" w:lineRule="exact"/>
              <w:rPr>
                <w:rFonts w:cs="Times New Roman"/>
                <w:sz w:val="18"/>
                <w:szCs w:val="18"/>
              </w:rPr>
            </w:pPr>
            <w:r>
              <w:rPr>
                <w:rFonts w:hint="eastAsia" w:cs="宋体"/>
                <w:sz w:val="18"/>
                <w:szCs w:val="18"/>
              </w:rPr>
              <w:t>企业应当对库存医疗器械定期进行盘点，做到账、货相符。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Align w:val="center"/>
          </w:tcPr>
          <w:p>
            <w:pPr>
              <w:spacing w:line="240" w:lineRule="exact"/>
              <w:rPr>
                <w:rFonts w:cs="Times New Roman"/>
                <w:sz w:val="18"/>
                <w:szCs w:val="18"/>
              </w:rPr>
            </w:pPr>
            <w:r>
              <w:rPr>
                <w:rFonts w:hint="eastAsia" w:cs="宋体"/>
                <w:sz w:val="18"/>
                <w:szCs w:val="18"/>
              </w:rPr>
              <w:t>销售出库与运输</w:t>
            </w:r>
          </w:p>
        </w:tc>
        <w:tc>
          <w:tcPr>
            <w:tcW w:w="1146" w:type="dxa"/>
            <w:vAlign w:val="center"/>
          </w:tcPr>
          <w:p>
            <w:pPr>
              <w:spacing w:line="240" w:lineRule="exact"/>
              <w:rPr>
                <w:sz w:val="18"/>
                <w:szCs w:val="18"/>
              </w:rPr>
            </w:pPr>
            <w:r>
              <w:rPr>
                <w:sz w:val="18"/>
                <w:szCs w:val="18"/>
              </w:rPr>
              <w:t>7.47.1</w:t>
            </w:r>
          </w:p>
        </w:tc>
        <w:tc>
          <w:tcPr>
            <w:tcW w:w="6025" w:type="dxa"/>
            <w:vAlign w:val="center"/>
          </w:tcPr>
          <w:p>
            <w:pPr>
              <w:spacing w:line="240" w:lineRule="exact"/>
              <w:rPr>
                <w:rFonts w:cs="Times New Roman"/>
                <w:sz w:val="18"/>
                <w:szCs w:val="18"/>
              </w:rPr>
            </w:pPr>
            <w:r>
              <w:rPr>
                <w:rFonts w:hint="eastAsia" w:cs="宋体"/>
                <w:sz w:val="18"/>
                <w:szCs w:val="18"/>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销售出库与运输</w:t>
            </w:r>
          </w:p>
        </w:tc>
        <w:tc>
          <w:tcPr>
            <w:tcW w:w="1146" w:type="dxa"/>
            <w:vAlign w:val="center"/>
          </w:tcPr>
          <w:p>
            <w:pPr>
              <w:spacing w:line="240" w:lineRule="exact"/>
              <w:rPr>
                <w:sz w:val="18"/>
                <w:szCs w:val="18"/>
              </w:rPr>
            </w:pPr>
            <w:r>
              <w:rPr>
                <w:sz w:val="18"/>
                <w:szCs w:val="18"/>
              </w:rPr>
              <w:t>*7.47.2</w:t>
            </w:r>
          </w:p>
        </w:tc>
        <w:tc>
          <w:tcPr>
            <w:tcW w:w="6025" w:type="dxa"/>
            <w:vAlign w:val="center"/>
          </w:tcPr>
          <w:p>
            <w:pPr>
              <w:spacing w:line="240" w:lineRule="exact"/>
              <w:rPr>
                <w:rFonts w:cs="Times New Roman"/>
                <w:sz w:val="18"/>
                <w:szCs w:val="18"/>
              </w:rPr>
            </w:pPr>
            <w:r>
              <w:rPr>
                <w:rFonts w:hint="eastAsia" w:cs="宋体"/>
                <w:sz w:val="18"/>
                <w:szCs w:val="18"/>
              </w:rPr>
              <w:t>从事医疗器械批发业务的企业，应当将医疗器械批发销售给合法的购货者，销售前应当对购货者的证明文件、经营范围进行核实，建立购货者档案，保证医疗器械销售流向真实、合法。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*7.48.1</w:t>
            </w:r>
          </w:p>
        </w:tc>
        <w:tc>
          <w:tcPr>
            <w:tcW w:w="6025" w:type="dxa"/>
            <w:vAlign w:val="center"/>
          </w:tcPr>
          <w:p>
            <w:pPr>
              <w:spacing w:line="240" w:lineRule="exact"/>
              <w:rPr>
                <w:rFonts w:cs="Times New Roman"/>
                <w:sz w:val="18"/>
                <w:szCs w:val="18"/>
              </w:rPr>
            </w:pPr>
            <w:r>
              <w:rPr>
                <w:rFonts w:hint="eastAsia" w:cs="宋体"/>
                <w:sz w:val="18"/>
                <w:szCs w:val="18"/>
              </w:rPr>
              <w:t>从事第二、第三类医疗器械批发以及第三类医疗器械零售业务的企业建立的销售记录应当至少包括以下内容：</w:t>
            </w:r>
            <w:r>
              <w:rPr>
                <w:rFonts w:cs="Times New Roman"/>
                <w:sz w:val="18"/>
                <w:szCs w:val="18"/>
              </w:rPr>
              <w:br w:type="textWrapping"/>
            </w:r>
            <w:r>
              <w:rPr>
                <w:rFonts w:hint="eastAsia" w:cs="宋体"/>
                <w:sz w:val="18"/>
                <w:szCs w:val="18"/>
              </w:rPr>
              <w:t>（一）医疗器械的名称、规格（型号）、注册证号或者备案凭证编号、数量、单价、金额；</w:t>
            </w:r>
            <w:r>
              <w:rPr>
                <w:rFonts w:cs="Times New Roman"/>
                <w:sz w:val="18"/>
                <w:szCs w:val="18"/>
              </w:rPr>
              <w:br w:type="textWrapping"/>
            </w:r>
            <w:r>
              <w:rPr>
                <w:rFonts w:hint="eastAsia" w:cs="宋体"/>
                <w:sz w:val="18"/>
                <w:szCs w:val="18"/>
              </w:rPr>
              <w:t>（二）医疗器械的生产批号或序列号、有效期、销售日期；</w:t>
            </w:r>
            <w:r>
              <w:rPr>
                <w:rFonts w:cs="Times New Roman"/>
                <w:sz w:val="18"/>
                <w:szCs w:val="18"/>
              </w:rPr>
              <w:br w:type="textWrapping"/>
            </w:r>
            <w:r>
              <w:rPr>
                <w:rFonts w:hint="eastAsia" w:cs="宋体"/>
                <w:sz w:val="18"/>
                <w:szCs w:val="18"/>
              </w:rPr>
              <w:t>（三）生产企业和生产企业许可证号（或者备案凭证编号）。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*7.48.2</w:t>
            </w:r>
          </w:p>
        </w:tc>
        <w:tc>
          <w:tcPr>
            <w:tcW w:w="6025" w:type="dxa"/>
            <w:vAlign w:val="center"/>
          </w:tcPr>
          <w:p>
            <w:pPr>
              <w:spacing w:line="240" w:lineRule="exact"/>
              <w:rPr>
                <w:rFonts w:cs="Times New Roman"/>
                <w:sz w:val="18"/>
                <w:szCs w:val="18"/>
              </w:rPr>
            </w:pPr>
            <w:r>
              <w:rPr>
                <w:rFonts w:hint="eastAsia" w:cs="宋体"/>
                <w:sz w:val="18"/>
                <w:szCs w:val="18"/>
              </w:rPr>
              <w:t>从事医疗器械批发业务的企业，销售记录还应当包括购货者的名称、经营许可证号（或者备案凭证编号）、经营地址、联系方式。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7.49</w:t>
            </w:r>
          </w:p>
        </w:tc>
        <w:tc>
          <w:tcPr>
            <w:tcW w:w="6025" w:type="dxa"/>
            <w:vAlign w:val="center"/>
          </w:tcPr>
          <w:p>
            <w:pPr>
              <w:spacing w:line="240" w:lineRule="exact"/>
              <w:rPr>
                <w:rFonts w:cs="Times New Roman"/>
                <w:sz w:val="18"/>
                <w:szCs w:val="18"/>
              </w:rPr>
            </w:pPr>
            <w:r>
              <w:rPr>
                <w:rFonts w:hint="eastAsia" w:cs="宋体"/>
                <w:sz w:val="18"/>
                <w:szCs w:val="18"/>
              </w:rPr>
              <w:t>从事医疗器械零售业务的企业，应当给消费者开具销售凭据，记录医疗器械的名称、规格（型号）、生产企业名称、数量、单价、金额、零售单位、经营地址、电话、销售日期等，以方便进行质量追溯。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销售出库与运输</w:t>
            </w:r>
          </w:p>
        </w:tc>
        <w:tc>
          <w:tcPr>
            <w:tcW w:w="1146" w:type="dxa"/>
            <w:vAlign w:val="center"/>
          </w:tcPr>
          <w:p>
            <w:pPr>
              <w:spacing w:line="240" w:lineRule="exact"/>
              <w:rPr>
                <w:sz w:val="18"/>
                <w:szCs w:val="18"/>
              </w:rPr>
            </w:pPr>
            <w:r>
              <w:rPr>
                <w:sz w:val="18"/>
                <w:szCs w:val="18"/>
              </w:rPr>
              <w:t>*7.50</w:t>
            </w:r>
          </w:p>
        </w:tc>
        <w:tc>
          <w:tcPr>
            <w:tcW w:w="6025" w:type="dxa"/>
            <w:vAlign w:val="center"/>
          </w:tcPr>
          <w:p>
            <w:pPr>
              <w:spacing w:line="240" w:lineRule="exact"/>
              <w:rPr>
                <w:rFonts w:cs="Times New Roman"/>
                <w:sz w:val="18"/>
                <w:szCs w:val="18"/>
              </w:rPr>
            </w:pPr>
            <w:r>
              <w:rPr>
                <w:rFonts w:hint="eastAsia" w:cs="宋体"/>
                <w:sz w:val="18"/>
                <w:szCs w:val="18"/>
              </w:rPr>
              <w:t>医疗器械出库时，库房保管人员应当对照出库的医疗器械进行核对，发现以下情况不得出库，并报告质量管理机构或质量管理人员处理：</w:t>
            </w:r>
            <w:r>
              <w:rPr>
                <w:rFonts w:cs="Times New Roman"/>
                <w:sz w:val="18"/>
                <w:szCs w:val="18"/>
              </w:rPr>
              <w:br w:type="textWrapping"/>
            </w:r>
            <w:r>
              <w:rPr>
                <w:rFonts w:hint="eastAsia" w:cs="宋体"/>
                <w:sz w:val="18"/>
                <w:szCs w:val="18"/>
              </w:rPr>
              <w:t>（一）医疗器械包装出现破损、污染、封口不牢、封条损坏等问题；</w:t>
            </w:r>
            <w:r>
              <w:rPr>
                <w:rFonts w:cs="Times New Roman"/>
                <w:sz w:val="18"/>
                <w:szCs w:val="18"/>
              </w:rPr>
              <w:br w:type="textWrapping"/>
            </w:r>
            <w:r>
              <w:rPr>
                <w:rFonts w:hint="eastAsia" w:cs="宋体"/>
                <w:sz w:val="18"/>
                <w:szCs w:val="18"/>
              </w:rPr>
              <w:t>（二）标签脱落、字迹模糊不清或者标示内容与实物不符；</w:t>
            </w:r>
            <w:r>
              <w:rPr>
                <w:rFonts w:cs="Times New Roman"/>
                <w:sz w:val="18"/>
                <w:szCs w:val="18"/>
              </w:rPr>
              <w:br w:type="textWrapping"/>
            </w:r>
            <w:r>
              <w:rPr>
                <w:rFonts w:hint="eastAsia" w:cs="宋体"/>
                <w:sz w:val="18"/>
                <w:szCs w:val="18"/>
              </w:rPr>
              <w:t>（三）医疗器械超过有效期；</w:t>
            </w:r>
            <w:r>
              <w:rPr>
                <w:rFonts w:cs="Times New Roman"/>
                <w:sz w:val="18"/>
                <w:szCs w:val="18"/>
              </w:rPr>
              <w:br w:type="textWrapping"/>
            </w:r>
            <w:r>
              <w:rPr>
                <w:rFonts w:hint="eastAsia" w:cs="宋体"/>
                <w:sz w:val="18"/>
                <w:szCs w:val="18"/>
              </w:rPr>
              <w:t>（四）存在其他异常情况的医疗器械。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7.51</w:t>
            </w:r>
          </w:p>
        </w:tc>
        <w:tc>
          <w:tcPr>
            <w:tcW w:w="6025" w:type="dxa"/>
            <w:vAlign w:val="center"/>
          </w:tcPr>
          <w:p>
            <w:pPr>
              <w:spacing w:line="240" w:lineRule="exact"/>
              <w:rPr>
                <w:rFonts w:cs="Times New Roman"/>
                <w:sz w:val="18"/>
                <w:szCs w:val="18"/>
              </w:rPr>
            </w:pPr>
            <w:r>
              <w:rPr>
                <w:rFonts w:hint="eastAsia" w:cs="宋体"/>
                <w:sz w:val="18"/>
                <w:szCs w:val="18"/>
              </w:rPr>
              <w:t>医疗器械出库应当复核并建立记录，复核内容包括购货者、医疗器械的名称、规格（型号）、注册证号或者备案凭证编号、生产批号或者序列号、生产日期和有效期（或者失效期）、生产企业、数量、出库日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7.52</w:t>
            </w:r>
          </w:p>
        </w:tc>
        <w:tc>
          <w:tcPr>
            <w:tcW w:w="6025" w:type="dxa"/>
            <w:vAlign w:val="center"/>
          </w:tcPr>
          <w:p>
            <w:pPr>
              <w:spacing w:line="240" w:lineRule="exact"/>
              <w:rPr>
                <w:rFonts w:cs="Times New Roman"/>
                <w:sz w:val="18"/>
                <w:szCs w:val="18"/>
              </w:rPr>
            </w:pPr>
            <w:r>
              <w:rPr>
                <w:rFonts w:hint="eastAsia" w:cs="宋体"/>
                <w:sz w:val="18"/>
                <w:szCs w:val="18"/>
              </w:rPr>
              <w:t>医疗器械拼箱发货的代用包装箱应当有醒目的发货内容标示。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*7.53</w:t>
            </w:r>
          </w:p>
        </w:tc>
        <w:tc>
          <w:tcPr>
            <w:tcW w:w="6025" w:type="dxa"/>
            <w:vAlign w:val="center"/>
          </w:tcPr>
          <w:p>
            <w:pPr>
              <w:spacing w:line="240" w:lineRule="exact"/>
              <w:rPr>
                <w:rFonts w:cs="Times New Roman"/>
                <w:sz w:val="18"/>
                <w:szCs w:val="18"/>
              </w:rPr>
            </w:pPr>
            <w:r>
              <w:rPr>
                <w:rFonts w:hint="eastAsia" w:cs="宋体"/>
                <w:sz w:val="18"/>
                <w:szCs w:val="18"/>
              </w:rPr>
              <w:t>需要进行冷藏、冷冻运输的医疗器械装箱、装车作业时，应当由专人负责并符合以下要求：</w:t>
            </w:r>
            <w:r>
              <w:rPr>
                <w:rFonts w:cs="Times New Roman"/>
                <w:sz w:val="18"/>
                <w:szCs w:val="18"/>
              </w:rPr>
              <w:br w:type="textWrapping"/>
            </w:r>
            <w:r>
              <w:rPr>
                <w:rFonts w:hint="eastAsia" w:cs="宋体"/>
                <w:sz w:val="18"/>
                <w:szCs w:val="18"/>
              </w:rPr>
              <w:t>（一）车载冷藏箱或者保温箱在使用前是否达到相应的温度要求；</w:t>
            </w:r>
            <w:r>
              <w:rPr>
                <w:rFonts w:cs="Times New Roman"/>
                <w:sz w:val="18"/>
                <w:szCs w:val="18"/>
              </w:rPr>
              <w:br w:type="textWrapping"/>
            </w:r>
            <w:r>
              <w:rPr>
                <w:rFonts w:hint="eastAsia" w:cs="宋体"/>
                <w:sz w:val="18"/>
                <w:szCs w:val="18"/>
              </w:rPr>
              <w:t>（二）是否在冷藏环境下完成装箱、封箱工作；</w:t>
            </w:r>
            <w:r>
              <w:rPr>
                <w:rFonts w:cs="Times New Roman"/>
                <w:sz w:val="18"/>
                <w:szCs w:val="18"/>
              </w:rPr>
              <w:br w:type="textWrapping"/>
            </w:r>
            <w:r>
              <w:rPr>
                <w:rFonts w:hint="eastAsia" w:cs="宋体"/>
                <w:sz w:val="18"/>
                <w:szCs w:val="18"/>
              </w:rPr>
              <w:t>（三）装车前是否检查冷藏车辆的启动、运行状态，达到规定温度后方可装车。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blCellSpacing w:w="0" w:type="dxa"/>
        </w:trPr>
        <w:tc>
          <w:tcPr>
            <w:tcW w:w="1051" w:type="dxa"/>
            <w:vAlign w:val="center"/>
          </w:tcPr>
          <w:p>
            <w:pPr>
              <w:spacing w:line="240" w:lineRule="exact"/>
              <w:rPr>
                <w:rFonts w:cs="Times New Roman"/>
                <w:sz w:val="18"/>
                <w:szCs w:val="18"/>
              </w:rPr>
            </w:pPr>
            <w:r>
              <w:rPr>
                <w:rFonts w:hint="eastAsia" w:cs="宋体"/>
                <w:sz w:val="18"/>
                <w:szCs w:val="18"/>
              </w:rPr>
              <w:t>售后服务</w:t>
            </w:r>
          </w:p>
        </w:tc>
        <w:tc>
          <w:tcPr>
            <w:tcW w:w="1146" w:type="dxa"/>
            <w:vAlign w:val="center"/>
          </w:tcPr>
          <w:p>
            <w:pPr>
              <w:spacing w:line="240" w:lineRule="exact"/>
              <w:rPr>
                <w:sz w:val="18"/>
                <w:szCs w:val="18"/>
              </w:rPr>
            </w:pPr>
            <w:r>
              <w:rPr>
                <w:sz w:val="18"/>
                <w:szCs w:val="18"/>
              </w:rPr>
              <w:t>7.54</w:t>
            </w:r>
          </w:p>
        </w:tc>
        <w:tc>
          <w:tcPr>
            <w:tcW w:w="6025" w:type="dxa"/>
            <w:vAlign w:val="center"/>
          </w:tcPr>
          <w:p>
            <w:pPr>
              <w:spacing w:line="240" w:lineRule="exact"/>
              <w:rPr>
                <w:rFonts w:cs="Times New Roman"/>
                <w:sz w:val="18"/>
                <w:szCs w:val="18"/>
              </w:rPr>
            </w:pPr>
            <w:r>
              <w:rPr>
                <w:rFonts w:hint="eastAsia" w:cs="宋体"/>
                <w:sz w:val="18"/>
                <w:szCs w:val="18"/>
              </w:rPr>
              <w:t>企业委托其他机构运输医疗器械，应当对承运方运输医疗器械的质量保障能力进行考核评估，明确运输过程中的质量责任，确保运输过程中的质量安全。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restart"/>
            <w:vAlign w:val="center"/>
          </w:tcPr>
          <w:p>
            <w:pPr>
              <w:spacing w:line="240" w:lineRule="exact"/>
              <w:rPr>
                <w:rFonts w:cs="Times New Roman"/>
                <w:sz w:val="18"/>
                <w:szCs w:val="18"/>
              </w:rPr>
            </w:pPr>
            <w:r>
              <w:rPr>
                <w:rFonts w:hint="eastAsia" w:cs="宋体"/>
                <w:sz w:val="18"/>
                <w:szCs w:val="18"/>
              </w:rPr>
              <w:t>售后服务</w:t>
            </w:r>
          </w:p>
        </w:tc>
        <w:tc>
          <w:tcPr>
            <w:tcW w:w="1146" w:type="dxa"/>
            <w:vAlign w:val="center"/>
          </w:tcPr>
          <w:p>
            <w:pPr>
              <w:spacing w:line="240" w:lineRule="exact"/>
              <w:rPr>
                <w:sz w:val="18"/>
                <w:szCs w:val="18"/>
              </w:rPr>
            </w:pPr>
            <w:r>
              <w:rPr>
                <w:sz w:val="18"/>
                <w:szCs w:val="18"/>
              </w:rPr>
              <w:t>*7.55</w:t>
            </w:r>
          </w:p>
        </w:tc>
        <w:tc>
          <w:tcPr>
            <w:tcW w:w="6025" w:type="dxa"/>
            <w:vAlign w:val="center"/>
          </w:tcPr>
          <w:p>
            <w:pPr>
              <w:spacing w:line="240" w:lineRule="exact"/>
              <w:rPr>
                <w:rFonts w:cs="Times New Roman"/>
                <w:sz w:val="18"/>
                <w:szCs w:val="18"/>
              </w:rPr>
            </w:pPr>
            <w:r>
              <w:rPr>
                <w:rFonts w:hint="eastAsia" w:cs="宋体"/>
                <w:sz w:val="18"/>
                <w:szCs w:val="18"/>
              </w:rPr>
              <w:t>运输需要冷藏、冷冻医疗器械的冷藏车、车载冷藏箱、保温箱应当符合医疗器械运输过程中对温度控制的要求。冷藏车具有显示温度、自动调控温度、报警、存储和读取温度监测数据的功能。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8.56.1</w:t>
            </w:r>
          </w:p>
        </w:tc>
        <w:tc>
          <w:tcPr>
            <w:tcW w:w="6025" w:type="dxa"/>
            <w:vAlign w:val="center"/>
          </w:tcPr>
          <w:p>
            <w:pPr>
              <w:spacing w:line="240" w:lineRule="exact"/>
              <w:rPr>
                <w:rFonts w:cs="Times New Roman"/>
                <w:sz w:val="18"/>
                <w:szCs w:val="18"/>
              </w:rPr>
            </w:pPr>
            <w:r>
              <w:rPr>
                <w:rFonts w:hint="eastAsia" w:cs="宋体"/>
                <w:sz w:val="18"/>
                <w:szCs w:val="18"/>
              </w:rPr>
              <w:t>企业应当具备与经营的医疗器械相适应的专业指导、技术培训和售后服务的能力，或者约定由相关机构提供技术支持。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8.56.2</w:t>
            </w:r>
          </w:p>
        </w:tc>
        <w:tc>
          <w:tcPr>
            <w:tcW w:w="6025" w:type="dxa"/>
            <w:vAlign w:val="center"/>
          </w:tcPr>
          <w:p>
            <w:pPr>
              <w:spacing w:line="240" w:lineRule="exact"/>
              <w:rPr>
                <w:rFonts w:cs="Times New Roman"/>
                <w:sz w:val="18"/>
                <w:szCs w:val="18"/>
              </w:rPr>
            </w:pPr>
            <w:r>
              <w:rPr>
                <w:rFonts w:hint="eastAsia" w:cs="宋体"/>
                <w:sz w:val="18"/>
                <w:szCs w:val="18"/>
              </w:rPr>
              <w:t>企业应当按照采购合同与供货者约定质量责任和售后服务责任，保证医疗器械售后的安全使用。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8.56.3</w:t>
            </w:r>
          </w:p>
        </w:tc>
        <w:tc>
          <w:tcPr>
            <w:tcW w:w="6025" w:type="dxa"/>
            <w:vAlign w:val="center"/>
          </w:tcPr>
          <w:p>
            <w:pPr>
              <w:spacing w:line="240" w:lineRule="exact"/>
              <w:rPr>
                <w:rFonts w:cs="Times New Roman"/>
                <w:sz w:val="18"/>
                <w:szCs w:val="18"/>
              </w:rPr>
            </w:pPr>
            <w:r>
              <w:rPr>
                <w:rFonts w:hint="eastAsia" w:cs="宋体"/>
                <w:sz w:val="18"/>
                <w:szCs w:val="18"/>
              </w:rPr>
              <w:t>企业应当与供货者约定，由供货者负责产品安装、维修、技术培训服务或者由约定的相关机构提供技术支持；按医疗器械经营质量管理规范要求不设从事技术培训和售后服务的部门或人员</w:t>
            </w:r>
            <w:r>
              <w:rPr>
                <w:sz w:val="18"/>
                <w:szCs w:val="18"/>
              </w:rPr>
              <w:t xml:space="preserve">, </w:t>
            </w:r>
            <w:r>
              <w:rPr>
                <w:rFonts w:hint="eastAsia" w:cs="宋体"/>
                <w:sz w:val="18"/>
                <w:szCs w:val="18"/>
              </w:rPr>
              <w:t>应当有相应的管理人员；企业自行为客户提供安装、维修、技术培训的，应当配备具有专业资格或经过厂家培训的人员。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8.57</w:t>
            </w:r>
          </w:p>
        </w:tc>
        <w:tc>
          <w:tcPr>
            <w:tcW w:w="6025" w:type="dxa"/>
            <w:vAlign w:val="center"/>
          </w:tcPr>
          <w:p>
            <w:pPr>
              <w:spacing w:line="240" w:lineRule="exact"/>
              <w:rPr>
                <w:rFonts w:cs="Times New Roman"/>
                <w:sz w:val="18"/>
                <w:szCs w:val="18"/>
              </w:rPr>
            </w:pPr>
            <w:r>
              <w:rPr>
                <w:rFonts w:hint="eastAsia" w:cs="宋体"/>
                <w:sz w:val="18"/>
                <w:szCs w:val="18"/>
              </w:rPr>
              <w:t>企业应当加强对退货的管理，保证退货环节医疗器械的质量和安全，防止混入假劣医疗器械。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8.58</w:t>
            </w:r>
          </w:p>
        </w:tc>
        <w:tc>
          <w:tcPr>
            <w:tcW w:w="6025" w:type="dxa"/>
            <w:vAlign w:val="center"/>
          </w:tcPr>
          <w:p>
            <w:pPr>
              <w:spacing w:line="240" w:lineRule="exact"/>
              <w:rPr>
                <w:rFonts w:cs="Times New Roman"/>
                <w:sz w:val="18"/>
                <w:szCs w:val="18"/>
              </w:rPr>
            </w:pPr>
            <w:r>
              <w:rPr>
                <w:rFonts w:hint="eastAsia" w:cs="宋体"/>
                <w:sz w:val="18"/>
                <w:szCs w:val="18"/>
              </w:rPr>
              <w:t>企业应当按照质量管理制度的要求，制定售后服务管理操作规程，内容包括投诉渠道及方式、档案记录、调查与评估、处理措施、反馈和事后跟踪等。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8.59</w:t>
            </w:r>
          </w:p>
        </w:tc>
        <w:tc>
          <w:tcPr>
            <w:tcW w:w="6025" w:type="dxa"/>
            <w:vAlign w:val="center"/>
          </w:tcPr>
          <w:p>
            <w:pPr>
              <w:spacing w:line="240" w:lineRule="exact"/>
              <w:rPr>
                <w:rFonts w:cs="Times New Roman"/>
                <w:sz w:val="18"/>
                <w:szCs w:val="18"/>
              </w:rPr>
            </w:pPr>
            <w:r>
              <w:rPr>
                <w:rFonts w:hint="eastAsia" w:cs="宋体"/>
                <w:sz w:val="18"/>
                <w:szCs w:val="18"/>
              </w:rPr>
              <w:t>企业应当配备专职或者兼职人员负责售后管理，对客户投诉的质量问题应查明原因，采取有效措施及时处理和反馈，并做好记录，必要时应当通知供货者及医疗器械生产企业。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8.60</w:t>
            </w:r>
          </w:p>
        </w:tc>
        <w:tc>
          <w:tcPr>
            <w:tcW w:w="6025" w:type="dxa"/>
            <w:vAlign w:val="center"/>
          </w:tcPr>
          <w:p>
            <w:pPr>
              <w:spacing w:line="240" w:lineRule="exact"/>
              <w:rPr>
                <w:rFonts w:cs="Times New Roman"/>
                <w:sz w:val="18"/>
                <w:szCs w:val="18"/>
              </w:rPr>
            </w:pPr>
            <w:r>
              <w:rPr>
                <w:rFonts w:hint="eastAsia" w:cs="宋体"/>
                <w:sz w:val="18"/>
                <w:szCs w:val="18"/>
              </w:rPr>
              <w:t>企业应当及时将售后服务处理结果等信息记入档案，以便查询和跟踪。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8.61</w:t>
            </w:r>
          </w:p>
        </w:tc>
        <w:tc>
          <w:tcPr>
            <w:tcW w:w="6025" w:type="dxa"/>
            <w:vAlign w:val="center"/>
          </w:tcPr>
          <w:p>
            <w:pPr>
              <w:spacing w:line="240" w:lineRule="exact"/>
              <w:rPr>
                <w:rFonts w:cs="Times New Roman"/>
                <w:sz w:val="18"/>
                <w:szCs w:val="18"/>
              </w:rPr>
            </w:pPr>
            <w:r>
              <w:rPr>
                <w:rFonts w:hint="eastAsia" w:cs="宋体"/>
                <w:sz w:val="18"/>
                <w:szCs w:val="18"/>
              </w:rPr>
              <w:t>从事零售业务的企业应当在营业场所公布市场监管部门的监督电话，设置顾客意见簿，及时处理顾客对医疗器械质量的投诉。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8.62</w:t>
            </w:r>
          </w:p>
        </w:tc>
        <w:tc>
          <w:tcPr>
            <w:tcW w:w="6025" w:type="dxa"/>
            <w:vAlign w:val="center"/>
          </w:tcPr>
          <w:p>
            <w:pPr>
              <w:spacing w:line="240" w:lineRule="exact"/>
              <w:rPr>
                <w:rFonts w:cs="Times New Roman"/>
                <w:sz w:val="18"/>
                <w:szCs w:val="18"/>
              </w:rPr>
            </w:pPr>
            <w:r>
              <w:rPr>
                <w:rFonts w:hint="eastAsia" w:cs="宋体"/>
                <w:sz w:val="18"/>
                <w:szCs w:val="18"/>
              </w:rPr>
              <w:t>企业应当配备专职或兼职人员，按照国家有关规定承担医疗器械不良事件监测和报告工作，应当对医疗器械不良事件监测机构、市场监管部门开展的不良事件调查予以配合。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*8.63</w:t>
            </w:r>
          </w:p>
        </w:tc>
        <w:tc>
          <w:tcPr>
            <w:tcW w:w="6025" w:type="dxa"/>
            <w:vAlign w:val="center"/>
          </w:tcPr>
          <w:p>
            <w:pPr>
              <w:spacing w:line="240" w:lineRule="exact"/>
              <w:rPr>
                <w:rFonts w:cs="Times New Roman"/>
                <w:sz w:val="18"/>
                <w:szCs w:val="18"/>
              </w:rPr>
            </w:pPr>
            <w:r>
              <w:rPr>
                <w:rFonts w:hint="eastAsia" w:cs="宋体"/>
                <w:sz w:val="18"/>
                <w:szCs w:val="18"/>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市场监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trPr>
        <w:tc>
          <w:tcPr>
            <w:tcW w:w="1051" w:type="dxa"/>
            <w:vMerge w:val="continue"/>
            <w:vAlign w:val="center"/>
          </w:tcPr>
          <w:p>
            <w:pPr>
              <w:spacing w:line="240" w:lineRule="exact"/>
              <w:rPr>
                <w:rFonts w:cs="Times New Roman"/>
                <w:sz w:val="18"/>
                <w:szCs w:val="18"/>
              </w:rPr>
            </w:pPr>
          </w:p>
        </w:tc>
        <w:tc>
          <w:tcPr>
            <w:tcW w:w="1146" w:type="dxa"/>
            <w:vAlign w:val="center"/>
          </w:tcPr>
          <w:p>
            <w:pPr>
              <w:spacing w:line="240" w:lineRule="exact"/>
              <w:rPr>
                <w:sz w:val="18"/>
                <w:szCs w:val="18"/>
              </w:rPr>
            </w:pPr>
            <w:r>
              <w:rPr>
                <w:sz w:val="18"/>
                <w:szCs w:val="18"/>
              </w:rPr>
              <w:t>8.64</w:t>
            </w:r>
          </w:p>
        </w:tc>
        <w:tc>
          <w:tcPr>
            <w:tcW w:w="6025" w:type="dxa"/>
            <w:vAlign w:val="center"/>
          </w:tcPr>
          <w:p>
            <w:pPr>
              <w:spacing w:line="240" w:lineRule="exact"/>
              <w:rPr>
                <w:rFonts w:cs="Times New Roman"/>
                <w:sz w:val="18"/>
                <w:szCs w:val="18"/>
              </w:rPr>
            </w:pPr>
            <w:r>
              <w:rPr>
                <w:rFonts w:hint="eastAsia" w:cs="宋体"/>
                <w:sz w:val="18"/>
                <w:szCs w:val="18"/>
              </w:rPr>
              <w:t>企业应当建立协助医疗器械生产企业履行召回义务，按照召回计划的要求及时传达、反馈医疗器械召回信息，控制和收回存在安全隐患的医疗器械，并建立医疗器械召回记录。</w:t>
            </w:r>
          </w:p>
        </w:tc>
      </w:tr>
    </w:tbl>
    <w:p>
      <w:pPr>
        <w:spacing w:line="240" w:lineRule="exact"/>
        <w:rPr>
          <w:rFonts w:cs="Times New Roman"/>
          <w:sz w:val="18"/>
          <w:szCs w:val="18"/>
        </w:rPr>
      </w:pPr>
      <w:r>
        <w:rPr>
          <w:rFonts w:cs="Times New Roman"/>
          <w:sz w:val="18"/>
          <w:szCs w:val="18"/>
        </w:rPr>
        <w:t> </w:t>
      </w:r>
    </w:p>
    <w:p>
      <w:pPr>
        <w:spacing w:line="240" w:lineRule="exact"/>
        <w:rPr>
          <w:rFonts w:cs="Times New Roman"/>
          <w:sz w:val="18"/>
          <w:szCs w:val="18"/>
        </w:rPr>
      </w:pPr>
    </w:p>
    <w:p>
      <w:pPr>
        <w:spacing w:line="240" w:lineRule="exact"/>
        <w:rPr>
          <w:rFonts w:cs="Times New Roman"/>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A9A"/>
    <w:rsid w:val="000136F5"/>
    <w:rsid w:val="00051571"/>
    <w:rsid w:val="00091A9A"/>
    <w:rsid w:val="001945B4"/>
    <w:rsid w:val="0039399C"/>
    <w:rsid w:val="00394EDC"/>
    <w:rsid w:val="003E5A90"/>
    <w:rsid w:val="003F10B9"/>
    <w:rsid w:val="00436A0D"/>
    <w:rsid w:val="00464905"/>
    <w:rsid w:val="00696AC8"/>
    <w:rsid w:val="006A7384"/>
    <w:rsid w:val="007E4197"/>
    <w:rsid w:val="0092378D"/>
    <w:rsid w:val="00A21653"/>
    <w:rsid w:val="00A8583C"/>
    <w:rsid w:val="00B420BB"/>
    <w:rsid w:val="00B43399"/>
    <w:rsid w:val="00BA2B06"/>
    <w:rsid w:val="00C3778F"/>
    <w:rsid w:val="00CD06F2"/>
    <w:rsid w:val="00D52AFE"/>
    <w:rsid w:val="00E146C1"/>
    <w:rsid w:val="00E871F4"/>
    <w:rsid w:val="00E92635"/>
    <w:rsid w:val="00ED7F8F"/>
    <w:rsid w:val="00F5380D"/>
    <w:rsid w:val="0E611625"/>
    <w:rsid w:val="0F162346"/>
    <w:rsid w:val="14A8187F"/>
    <w:rsid w:val="1588673B"/>
    <w:rsid w:val="659B3E5F"/>
    <w:rsid w:val="67644EED"/>
    <w:rsid w:val="70274B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widowControl/>
      <w:jc w:val="left"/>
      <w:outlineLvl w:val="0"/>
    </w:pPr>
    <w:rPr>
      <w:rFonts w:ascii="宋体" w:hAnsi="宋体" w:cs="宋体"/>
      <w:b/>
      <w:bCs/>
      <w:kern w:val="36"/>
      <w:sz w:val="48"/>
      <w:szCs w:val="48"/>
    </w:rPr>
  </w:style>
  <w:style w:type="paragraph" w:styleId="3">
    <w:name w:val="heading 2"/>
    <w:basedOn w:val="1"/>
    <w:next w:val="1"/>
    <w:link w:val="13"/>
    <w:qFormat/>
    <w:uiPriority w:val="99"/>
    <w:pPr>
      <w:widowControl/>
      <w:jc w:val="left"/>
      <w:outlineLvl w:val="1"/>
    </w:pPr>
    <w:rPr>
      <w:rFonts w:ascii="宋体" w:hAnsi="宋体" w:cs="宋体"/>
      <w:b/>
      <w:bCs/>
      <w:kern w:val="0"/>
      <w:sz w:val="36"/>
      <w:szCs w:val="36"/>
    </w:rPr>
  </w:style>
  <w:style w:type="paragraph" w:styleId="4">
    <w:name w:val="heading 3"/>
    <w:basedOn w:val="1"/>
    <w:next w:val="1"/>
    <w:link w:val="14"/>
    <w:qFormat/>
    <w:uiPriority w:val="99"/>
    <w:pPr>
      <w:widowControl/>
      <w:jc w:val="left"/>
      <w:outlineLvl w:val="2"/>
    </w:pPr>
    <w:rPr>
      <w:rFonts w:ascii="宋体" w:hAnsi="宋体" w:cs="宋体"/>
      <w:b/>
      <w:bCs/>
      <w:kern w:val="0"/>
      <w:sz w:val="27"/>
      <w:szCs w:val="27"/>
    </w:rPr>
  </w:style>
  <w:style w:type="paragraph" w:styleId="5">
    <w:name w:val="heading 4"/>
    <w:basedOn w:val="1"/>
    <w:next w:val="1"/>
    <w:link w:val="15"/>
    <w:qFormat/>
    <w:uiPriority w:val="99"/>
    <w:pPr>
      <w:widowControl/>
      <w:jc w:val="left"/>
      <w:outlineLvl w:val="3"/>
    </w:pPr>
    <w:rPr>
      <w:rFonts w:ascii="宋体" w:hAnsi="宋体" w:cs="宋体"/>
      <w:b/>
      <w:bCs/>
      <w:kern w:val="0"/>
      <w:sz w:val="24"/>
      <w:szCs w:val="24"/>
    </w:rPr>
  </w:style>
  <w:style w:type="paragraph" w:styleId="6">
    <w:name w:val="heading 5"/>
    <w:basedOn w:val="1"/>
    <w:next w:val="1"/>
    <w:link w:val="16"/>
    <w:qFormat/>
    <w:uiPriority w:val="99"/>
    <w:pPr>
      <w:widowControl/>
      <w:jc w:val="left"/>
      <w:outlineLvl w:val="4"/>
    </w:pPr>
    <w:rPr>
      <w:rFonts w:ascii="宋体" w:hAnsi="宋体" w:cs="宋体"/>
      <w:b/>
      <w:bCs/>
      <w:kern w:val="0"/>
      <w:sz w:val="20"/>
      <w:szCs w:val="20"/>
    </w:rPr>
  </w:style>
  <w:style w:type="paragraph" w:styleId="7">
    <w:name w:val="heading 6"/>
    <w:basedOn w:val="1"/>
    <w:next w:val="1"/>
    <w:link w:val="17"/>
    <w:qFormat/>
    <w:uiPriority w:val="99"/>
    <w:pPr>
      <w:widowControl/>
      <w:jc w:val="left"/>
      <w:outlineLvl w:val="5"/>
    </w:pPr>
    <w:rPr>
      <w:rFonts w:ascii="宋体" w:hAnsi="宋体" w:cs="宋体"/>
      <w:b/>
      <w:bCs/>
      <w:kern w:val="0"/>
      <w:sz w:val="15"/>
      <w:szCs w:val="15"/>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link w:val="2"/>
    <w:qFormat/>
    <w:locked/>
    <w:uiPriority w:val="99"/>
    <w:rPr>
      <w:rFonts w:ascii="宋体" w:hAnsi="宋体" w:eastAsia="宋体" w:cs="宋体"/>
      <w:b/>
      <w:bCs/>
      <w:kern w:val="36"/>
      <w:sz w:val="48"/>
      <w:szCs w:val="48"/>
    </w:rPr>
  </w:style>
  <w:style w:type="character" w:customStyle="1" w:styleId="13">
    <w:name w:val="标题 2 Char"/>
    <w:link w:val="3"/>
    <w:qFormat/>
    <w:locked/>
    <w:uiPriority w:val="99"/>
    <w:rPr>
      <w:rFonts w:ascii="宋体" w:hAnsi="宋体" w:eastAsia="宋体" w:cs="宋体"/>
      <w:b/>
      <w:bCs/>
      <w:kern w:val="0"/>
      <w:sz w:val="36"/>
      <w:szCs w:val="36"/>
    </w:rPr>
  </w:style>
  <w:style w:type="character" w:customStyle="1" w:styleId="14">
    <w:name w:val="标题 3 Char"/>
    <w:link w:val="4"/>
    <w:locked/>
    <w:uiPriority w:val="99"/>
    <w:rPr>
      <w:rFonts w:ascii="宋体" w:hAnsi="宋体" w:eastAsia="宋体" w:cs="宋体"/>
      <w:b/>
      <w:bCs/>
      <w:kern w:val="0"/>
      <w:sz w:val="27"/>
      <w:szCs w:val="27"/>
    </w:rPr>
  </w:style>
  <w:style w:type="character" w:customStyle="1" w:styleId="15">
    <w:name w:val="标题 4 Char"/>
    <w:link w:val="5"/>
    <w:qFormat/>
    <w:locked/>
    <w:uiPriority w:val="99"/>
    <w:rPr>
      <w:rFonts w:ascii="宋体" w:hAnsi="宋体" w:eastAsia="宋体" w:cs="宋体"/>
      <w:b/>
      <w:bCs/>
      <w:kern w:val="0"/>
      <w:sz w:val="24"/>
      <w:szCs w:val="24"/>
    </w:rPr>
  </w:style>
  <w:style w:type="character" w:customStyle="1" w:styleId="16">
    <w:name w:val="标题 5 Char"/>
    <w:link w:val="6"/>
    <w:qFormat/>
    <w:locked/>
    <w:uiPriority w:val="99"/>
    <w:rPr>
      <w:rFonts w:ascii="宋体" w:hAnsi="宋体" w:eastAsia="宋体" w:cs="宋体"/>
      <w:b/>
      <w:bCs/>
      <w:kern w:val="0"/>
      <w:sz w:val="20"/>
      <w:szCs w:val="20"/>
    </w:rPr>
  </w:style>
  <w:style w:type="character" w:customStyle="1" w:styleId="17">
    <w:name w:val="标题 6 Char"/>
    <w:link w:val="7"/>
    <w:qFormat/>
    <w:locked/>
    <w:uiPriority w:val="99"/>
    <w:rPr>
      <w:rFonts w:ascii="宋体" w:hAnsi="宋体" w:eastAsia="宋体" w:cs="宋体"/>
      <w:b/>
      <w:bCs/>
      <w:kern w:val="0"/>
      <w:sz w:val="15"/>
      <w:szCs w:val="15"/>
    </w:rPr>
  </w:style>
  <w:style w:type="character" w:customStyle="1" w:styleId="18">
    <w:name w:val="页眉 Char"/>
    <w:link w:val="9"/>
    <w:semiHidden/>
    <w:qFormat/>
    <w:locked/>
    <w:uiPriority w:val="99"/>
    <w:rPr>
      <w:sz w:val="18"/>
      <w:szCs w:val="18"/>
    </w:rPr>
  </w:style>
  <w:style w:type="character" w:customStyle="1" w:styleId="19">
    <w:name w:val="页脚 Char"/>
    <w:link w:val="8"/>
    <w:qFormat/>
    <w:locked/>
    <w:uiPriority w:val="99"/>
    <w:rPr>
      <w:sz w:val="18"/>
      <w:szCs w:val="18"/>
    </w:rPr>
  </w:style>
  <w:style w:type="character" w:customStyle="1" w:styleId="20">
    <w:name w:val="font51"/>
    <w:qFormat/>
    <w:uiPriority w:val="99"/>
    <w:rPr>
      <w:rFonts w:ascii="宋体" w:hAnsi="宋体" w:eastAsia="宋体" w:cs="宋体"/>
      <w:color w:val="000000"/>
      <w:sz w:val="22"/>
      <w:szCs w:val="22"/>
      <w:u w:val="none"/>
    </w:rPr>
  </w:style>
  <w:style w:type="character" w:customStyle="1" w:styleId="21">
    <w:name w:val="font31"/>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2695</Words>
  <Characters>15363</Characters>
  <Lines>128</Lines>
  <Paragraphs>36</Paragraphs>
  <TotalTime>19</TotalTime>
  <ScaleCrop>false</ScaleCrop>
  <LinksUpToDate>false</LinksUpToDate>
  <CharactersWithSpaces>18022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2017-11-22T08:38:00Z</dcterms:created>
  <dc:creator>微软用户</dc:creator>
  <cp:lastModifiedBy>希望</cp:lastModifiedBy>
  <dcterms:modified xsi:type="dcterms:W3CDTF">2022-01-04T07:04:02Z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