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beforeLines="0" w:afterLines="0" w:line="560" w:lineRule="exact"/>
        <w:ind w:firstLine="840" w:firstLineChars="400"/>
        <w:rPr>
          <w:rFonts w:hint="default"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 xml:space="preserve">                                                     DG-HG-001-2023</w:t>
      </w:r>
    </w:p>
    <w:p>
      <w:pPr>
        <w:spacing w:beforeLines="0" w:afterLines="0" w:line="590" w:lineRule="exact"/>
        <w:ind w:firstLine="320" w:firstLineChars="100"/>
        <w:jc w:val="center"/>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202</w:t>
      </w:r>
      <w:r>
        <w:rPr>
          <w:rFonts w:hint="eastAsia" w:ascii="方正大标宋简体" w:hAnsi="方正大标宋简体" w:eastAsia="方正大标宋简体" w:cs="方正大标宋简体"/>
          <w:sz w:val="32"/>
          <w:szCs w:val="32"/>
          <w:lang w:val="en-US" w:eastAsia="zh-CN"/>
        </w:rPr>
        <w:t>3</w:t>
      </w:r>
      <w:r>
        <w:rPr>
          <w:rFonts w:hint="eastAsia" w:ascii="方正大标宋简体" w:hAnsi="方正大标宋简体" w:eastAsia="方正大标宋简体" w:cs="方正大标宋简体"/>
          <w:sz w:val="32"/>
          <w:szCs w:val="32"/>
          <w:lang w:eastAsia="zh-CN"/>
        </w:rPr>
        <w:t>年东莞市车用汽油、</w:t>
      </w:r>
      <w:r>
        <w:rPr>
          <w:rFonts w:hint="eastAsia" w:ascii="方正大标宋简体" w:hAnsi="方正大标宋简体" w:eastAsia="方正大标宋简体" w:cs="方正大标宋简体"/>
          <w:sz w:val="32"/>
          <w:szCs w:val="32"/>
          <w:lang w:val="en-US" w:eastAsia="zh-CN"/>
        </w:rPr>
        <w:t>车用</w:t>
      </w:r>
      <w:r>
        <w:rPr>
          <w:rFonts w:hint="eastAsia" w:ascii="方正大标宋简体" w:hAnsi="方正大标宋简体" w:eastAsia="方正大标宋简体" w:cs="方正大标宋简体"/>
          <w:sz w:val="32"/>
          <w:szCs w:val="32"/>
          <w:lang w:eastAsia="zh-CN"/>
        </w:rPr>
        <w:t>柴油、</w:t>
      </w:r>
      <w:r>
        <w:rPr>
          <w:rFonts w:hint="eastAsia" w:ascii="方正大标宋简体" w:hAnsi="方正大标宋简体" w:eastAsia="方正大标宋简体" w:cs="方正大标宋简体"/>
          <w:sz w:val="32"/>
          <w:szCs w:val="32"/>
          <w:lang w:val="en-US" w:eastAsia="zh-CN"/>
        </w:rPr>
        <w:t>船用燃料油</w:t>
      </w:r>
      <w:r>
        <w:rPr>
          <w:rFonts w:hint="eastAsia" w:ascii="方正大标宋简体" w:hAnsi="方正大标宋简体" w:eastAsia="方正大标宋简体" w:cs="方正大标宋简体"/>
          <w:sz w:val="32"/>
          <w:szCs w:val="32"/>
          <w:lang w:eastAsia="zh-CN"/>
        </w:rPr>
        <w:t>(内河船用燃料油）产品质量监督抽查实施细则</w:t>
      </w:r>
    </w:p>
    <w:p>
      <w:pPr>
        <w:spacing w:beforeLines="0" w:afterLines="0" w:line="590" w:lineRule="exact"/>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本细则适用于东莞市市场监督管理局组织的</w:t>
      </w:r>
      <w:r>
        <w:rPr>
          <w:rFonts w:hint="eastAsia" w:ascii="仿宋_GB2312" w:hAnsi="仿宋_GB2312" w:eastAsia="仿宋_GB2312" w:cs="仿宋_GB2312"/>
          <w:spacing w:val="5"/>
          <w:sz w:val="32"/>
          <w:szCs w:val="32"/>
          <w:lang w:val="en-US" w:eastAsia="zh-CN"/>
        </w:rPr>
        <w:t>成品油</w:t>
      </w:r>
      <w:r>
        <w:rPr>
          <w:rFonts w:hint="eastAsia" w:ascii="仿宋_GB2312" w:hAnsi="仿宋_GB2312" w:eastAsia="仿宋_GB2312" w:cs="仿宋_GB2312"/>
          <w:sz w:val="32"/>
          <w:szCs w:val="32"/>
          <w:lang w:eastAsia="zh-CN"/>
        </w:rPr>
        <w:t>产品质量监督抽查的抽样、检验工作。</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抽查产品名称（种类）：车用汽油、车用柴油、</w:t>
      </w:r>
      <w:r>
        <w:rPr>
          <w:rFonts w:hint="eastAsia" w:ascii="仿宋_GB2312" w:hAnsi="仿宋_GB2312" w:eastAsia="仿宋_GB2312" w:cs="仿宋_GB2312"/>
          <w:sz w:val="32"/>
          <w:szCs w:val="32"/>
          <w:lang w:val="en-US" w:eastAsia="zh-CN"/>
        </w:rPr>
        <w:t>船用燃料油</w:t>
      </w:r>
      <w:r>
        <w:rPr>
          <w:rFonts w:hint="eastAsia" w:ascii="仿宋_GB2312" w:hAnsi="仿宋_GB2312" w:eastAsia="仿宋_GB2312" w:cs="仿宋_GB2312"/>
          <w:sz w:val="32"/>
          <w:szCs w:val="32"/>
        </w:rPr>
        <w:t>(内河船用燃料油）</w:t>
      </w:r>
      <w:r>
        <w:rPr>
          <w:rFonts w:hint="eastAsia" w:ascii="仿宋_GB2312" w:hAnsi="仿宋_GB2312" w:eastAsia="仿宋_GB2312" w:cs="仿宋_GB2312"/>
          <w:sz w:val="32"/>
          <w:szCs w:val="32"/>
          <w:lang w:eastAsia="zh-CN"/>
        </w:rPr>
        <w:t>；</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监督（核查）总体：与抽检的样本为同一销售者的同一批次、同一规格型号的产品集合。</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《产品质量监督抽查管理暂行办法》（国家市场监督管理总局令第18号）；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T/GDAQI 020-2022《产品质量监督抽查抽样检验技术服务规范》；</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《东莞市市场监督管理局产品质量监督抽查管理工作指引》（东市监质监〔2020〕9号）；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承检机构在抽样检验程序中根据实际情况及检验程序的法定性与有效性予以补充。</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三、抽样数量及方法</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1、抽样地点：东莞市。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2、抽样数量：以随机抽样的方式在被抽样经营者的待销产品中抽取。</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每款产品抽取2组样本，第1组用于检验，第2组用于备样。每组样本需抽取样品数量如下表所示：</w:t>
      </w:r>
    </w:p>
    <w:tbl>
      <w:tblPr>
        <w:tblStyle w:val="6"/>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07"/>
        <w:gridCol w:w="2829"/>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8"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序号</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产品名称</w:t>
            </w:r>
          </w:p>
        </w:tc>
        <w:tc>
          <w:tcPr>
            <w:tcW w:w="28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第1组数量</w:t>
            </w:r>
          </w:p>
        </w:tc>
        <w:tc>
          <w:tcPr>
            <w:tcW w:w="28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b/>
                <w:sz w:val="24"/>
                <w:szCs w:val="22"/>
              </w:rPr>
            </w:pPr>
            <w:r>
              <w:rPr>
                <w:rFonts w:hint="eastAsia" w:ascii="仿宋" w:hAnsi="仿宋" w:eastAsia="仿宋"/>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1</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车用汽油</w:t>
            </w:r>
          </w:p>
        </w:tc>
        <w:tc>
          <w:tcPr>
            <w:tcW w:w="28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.7L（包含2部分，第一部分至少</w:t>
            </w:r>
            <w:r>
              <w:rPr>
                <w:rFonts w:hint="eastAsia" w:ascii="仿宋" w:hAnsi="仿宋" w:eastAsia="仿宋"/>
                <w:sz w:val="24"/>
                <w:szCs w:val="22"/>
                <w:lang w:val="en-US" w:eastAsia="zh-CN"/>
              </w:rPr>
              <w:t>1</w:t>
            </w:r>
            <w:r>
              <w:rPr>
                <w:rFonts w:hint="eastAsia" w:ascii="仿宋" w:hAnsi="仿宋" w:eastAsia="仿宋"/>
                <w:sz w:val="24"/>
                <w:szCs w:val="22"/>
              </w:rPr>
              <w:t>L，第二部分至少700mL）</w:t>
            </w:r>
          </w:p>
        </w:tc>
        <w:tc>
          <w:tcPr>
            <w:tcW w:w="28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.7L（包含2部分，第一部分至少</w:t>
            </w:r>
            <w:r>
              <w:rPr>
                <w:rFonts w:hint="eastAsia" w:ascii="仿宋" w:hAnsi="仿宋" w:eastAsia="仿宋"/>
                <w:sz w:val="24"/>
                <w:szCs w:val="22"/>
                <w:lang w:val="en-US" w:eastAsia="zh-CN"/>
              </w:rPr>
              <w:t>1</w:t>
            </w:r>
            <w:r>
              <w:rPr>
                <w:rFonts w:hint="eastAsia" w:ascii="仿宋" w:hAnsi="仿宋" w:eastAsia="仿宋"/>
                <w:sz w:val="24"/>
                <w:szCs w:val="22"/>
              </w:rPr>
              <w:t>L，第二部分至少700mL）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2</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车用柴油</w:t>
            </w:r>
          </w:p>
        </w:tc>
        <w:tc>
          <w:tcPr>
            <w:tcW w:w="28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c>
          <w:tcPr>
            <w:tcW w:w="28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lang w:val="en-US" w:eastAsia="zh-CN"/>
              </w:rPr>
            </w:pPr>
            <w:r>
              <w:rPr>
                <w:rFonts w:hint="eastAsia" w:ascii="仿宋" w:hAnsi="仿宋" w:eastAsia="仿宋"/>
                <w:sz w:val="24"/>
                <w:szCs w:val="22"/>
                <w:lang w:val="en-US" w:eastAsia="zh-CN"/>
              </w:rPr>
              <w:t>3</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lang w:val="en-US" w:eastAsia="zh-CN"/>
              </w:rPr>
            </w:pPr>
            <w:r>
              <w:rPr>
                <w:rFonts w:hint="eastAsia" w:ascii="仿宋" w:hAnsi="仿宋" w:eastAsia="仿宋" w:cs="Times New Roman"/>
                <w:sz w:val="24"/>
                <w:szCs w:val="22"/>
              </w:rPr>
              <w:t>船用燃料油(内河船用燃料油）</w:t>
            </w:r>
          </w:p>
        </w:tc>
        <w:tc>
          <w:tcPr>
            <w:tcW w:w="282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c>
          <w:tcPr>
            <w:tcW w:w="28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sz w:val="24"/>
                <w:szCs w:val="22"/>
              </w:rPr>
            </w:pPr>
            <w:r>
              <w:rPr>
                <w:rFonts w:hint="eastAsia" w:ascii="仿宋" w:hAnsi="仿宋" w:eastAsia="仿宋"/>
                <w:sz w:val="24"/>
                <w:szCs w:val="22"/>
              </w:rPr>
              <w:t>至少</w:t>
            </w:r>
            <w:r>
              <w:rPr>
                <w:rFonts w:hint="eastAsia" w:ascii="仿宋" w:hAnsi="仿宋" w:eastAsia="仿宋"/>
                <w:sz w:val="24"/>
                <w:szCs w:val="22"/>
                <w:lang w:val="en-US" w:eastAsia="zh-CN"/>
              </w:rPr>
              <w:t>1</w:t>
            </w:r>
            <w:r>
              <w:rPr>
                <w:rFonts w:hint="eastAsia" w:ascii="仿宋" w:hAnsi="仿宋" w:eastAsia="仿宋"/>
                <w:sz w:val="24"/>
                <w:szCs w:val="22"/>
              </w:rPr>
              <w:t>L</w:t>
            </w:r>
          </w:p>
        </w:tc>
      </w:tr>
    </w:tbl>
    <w:p>
      <w:pPr>
        <w:widowControl w:val="0"/>
        <w:wordWrap/>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抽样方法</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widowControl w:val="0"/>
        <w:numPr>
          <w:numId w:val="0"/>
        </w:numPr>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在生产企业（油库）抽样时，按GB/T 4756-2015《石油液体手工取样法》规定的方法抽取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；在加油站或燃油供应船舶或燃油供应车辆抽样时，直接在加油机加油枪或加油管出口处（或取样处）随机抽取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eastAsia="zh-CN"/>
        </w:rPr>
        <w:t>样品</w:t>
      </w:r>
      <w:r>
        <w:rPr>
          <w:rFonts w:hint="eastAsia" w:ascii="仿宋_GB2312" w:hAnsi="仿宋_GB2312" w:eastAsia="仿宋_GB2312" w:cs="仿宋_GB2312"/>
          <w:sz w:val="32"/>
          <w:szCs w:val="32"/>
        </w:rPr>
        <w:t>前，通过油枪或油管将至少4L油品放出，清洗加油管，避免加油管污染样品；同时清洗取样罐至少3次。</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检验样品由抽样人员以生产、销售产品的标价或出厂价购买，不会对样品质量造成实质性影响的样品除外。备用样品由被抽样单位无偿提供。</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被抽查产品的样品应有密封和防拆封措施，以保证其完整性、真实性，包括附在样品上的使用说明及其他信息；检验样品和备用样品必须分别封存。</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四、主要检验项目及检验项目属性划分</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（一）车用汽油</w:t>
      </w:r>
    </w:p>
    <w:tbl>
      <w:tblPr>
        <w:tblStyle w:val="6"/>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832"/>
        <w:gridCol w:w="2198"/>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序号</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检验项目</w:t>
            </w:r>
          </w:p>
        </w:tc>
        <w:tc>
          <w:tcPr>
            <w:tcW w:w="219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依据标准</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强制性</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非强制性</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重要项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较重要项</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b/>
                <w:sz w:val="21"/>
                <w:szCs w:val="24"/>
              </w:rPr>
            </w:pPr>
            <w:r>
              <w:rPr>
                <w:rFonts w:hint="eastAsia" w:ascii="仿宋" w:hAnsi="仿宋" w:eastAsia="仿宋"/>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1</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硫含量</w:t>
            </w:r>
          </w:p>
        </w:tc>
        <w:tc>
          <w:tcPr>
            <w:tcW w:w="21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17930-201《车用汽油》</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2</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烯烃含量</w:t>
            </w:r>
          </w:p>
        </w:tc>
        <w:tc>
          <w:tcPr>
            <w:tcW w:w="21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lang w:eastAsia="zh-CN"/>
              </w:rPr>
            </w:pPr>
            <w:r>
              <w:rPr>
                <w:rFonts w:hint="eastAsia" w:ascii="仿宋" w:hAnsi="仿宋" w:eastAsia="仿宋"/>
                <w:sz w:val="21"/>
                <w:szCs w:val="24"/>
                <w:lang w:val="en-US" w:eastAsia="zh-CN"/>
              </w:rPr>
              <w:t>3</w:t>
            </w:r>
          </w:p>
        </w:tc>
        <w:tc>
          <w:tcPr>
            <w:tcW w:w="183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蒸气压</w:t>
            </w:r>
          </w:p>
        </w:tc>
        <w:tc>
          <w:tcPr>
            <w:tcW w:w="21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17930-2016《车用汽油》和粤府函〔2022〕159号</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line="26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260" w:lineRule="exact"/>
              <w:jc w:val="center"/>
              <w:rPr>
                <w:rFonts w:hint="eastAsia" w:ascii="仿宋" w:hAnsi="仿宋" w:eastAsia="仿宋"/>
                <w:sz w:val="21"/>
                <w:szCs w:val="24"/>
              </w:rPr>
            </w:pP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（二）车用柴油</w:t>
      </w:r>
    </w:p>
    <w:tbl>
      <w:tblPr>
        <w:tblStyle w:val="6"/>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3"/>
        <w:gridCol w:w="2375"/>
        <w:gridCol w:w="708"/>
        <w:gridCol w:w="709"/>
        <w:gridCol w:w="709"/>
        <w:gridCol w:w="70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序号</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检验项目</w:t>
            </w:r>
          </w:p>
        </w:tc>
        <w:tc>
          <w:tcPr>
            <w:tcW w:w="237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依据标准</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强制性</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非强制性</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重要项</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较重要项</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b/>
                <w:sz w:val="21"/>
                <w:szCs w:val="24"/>
              </w:rPr>
            </w:pPr>
            <w:r>
              <w:rPr>
                <w:rFonts w:hint="eastAsia" w:ascii="仿宋" w:hAnsi="仿宋" w:eastAsia="仿宋"/>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1</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硫含量</w:t>
            </w:r>
          </w:p>
        </w:tc>
        <w:tc>
          <w:tcPr>
            <w:tcW w:w="23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color w:val="000000"/>
                <w:kern w:val="0"/>
                <w:sz w:val="21"/>
                <w:szCs w:val="24"/>
              </w:rPr>
            </w:pPr>
            <w:r>
              <w:rPr>
                <w:rFonts w:hint="eastAsia" w:ascii="仿宋" w:hAnsi="仿宋" w:eastAsia="仿宋"/>
                <w:color w:val="000000"/>
                <w:kern w:val="0"/>
                <w:sz w:val="21"/>
                <w:szCs w:val="24"/>
              </w:rPr>
              <w:t>GB 19147-2016《车用柴油》</w:t>
            </w: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492"/>
              </w:tabs>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2</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闪点（闭口）</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3</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馏程</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73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4</w:t>
            </w:r>
          </w:p>
        </w:tc>
        <w:tc>
          <w:tcPr>
            <w:tcW w:w="16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密度(20℃)</w:t>
            </w:r>
          </w:p>
        </w:tc>
        <w:tc>
          <w:tcPr>
            <w:tcW w:w="23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color w:val="000000"/>
                <w:kern w:val="0"/>
                <w:sz w:val="21"/>
                <w:szCs w:val="24"/>
              </w:rPr>
            </w:pPr>
          </w:p>
        </w:tc>
        <w:tc>
          <w:tcPr>
            <w:tcW w:w="70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r>
              <w:rPr>
                <w:rFonts w:hint="eastAsia" w:ascii="仿宋" w:hAnsi="仿宋" w:eastAsia="仿宋"/>
                <w:sz w:val="21"/>
                <w:szCs w:val="24"/>
              </w:rPr>
              <w:t>●</w:t>
            </w:r>
          </w:p>
        </w:tc>
        <w:tc>
          <w:tcPr>
            <w:tcW w:w="73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00" w:lineRule="exact"/>
              <w:jc w:val="center"/>
              <w:rPr>
                <w:rFonts w:hint="eastAsia" w:ascii="仿宋" w:hAnsi="仿宋" w:eastAsia="仿宋"/>
                <w:sz w:val="21"/>
                <w:szCs w:val="24"/>
              </w:rPr>
            </w:pPr>
          </w:p>
        </w:tc>
      </w:tr>
    </w:tbl>
    <w:p>
      <w:pPr>
        <w:numPr>
          <w:ilvl w:val="0"/>
          <w:numId w:val="1"/>
        </w:numPr>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船用燃料油</w:t>
      </w:r>
      <w:r>
        <w:rPr>
          <w:rFonts w:hint="eastAsia" w:ascii="仿宋_GB2312" w:hAnsi="仿宋_GB2312" w:eastAsia="仿宋_GB2312" w:cs="仿宋_GB2312"/>
          <w:sz w:val="32"/>
          <w:szCs w:val="32"/>
        </w:rPr>
        <w:t>(内河船用燃料油）</w:t>
      </w:r>
    </w:p>
    <w:tbl>
      <w:tblPr>
        <w:tblStyle w:val="6"/>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718"/>
        <w:gridCol w:w="2332"/>
        <w:gridCol w:w="723"/>
        <w:gridCol w:w="723"/>
        <w:gridCol w:w="681"/>
        <w:gridCol w:w="71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58"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718"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233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依据法律法规或标准</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w:t>
            </w:r>
          </w:p>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制性</w:t>
            </w:r>
          </w:p>
        </w:tc>
        <w:tc>
          <w:tcPr>
            <w:tcW w:w="68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71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w:t>
            </w:r>
          </w:p>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要项</w:t>
            </w:r>
          </w:p>
        </w:tc>
        <w:tc>
          <w:tcPr>
            <w:tcW w:w="751" w:type="dxa"/>
            <w:tcBorders>
              <w:top w:val="single" w:color="auto" w:sz="4" w:space="0"/>
              <w:left w:val="single" w:color="auto" w:sz="4" w:space="0"/>
              <w:right w:val="single" w:color="auto" w:sz="4" w:space="0"/>
            </w:tcBorders>
            <w:vAlign w:val="center"/>
          </w:tcPr>
          <w:p>
            <w:pPr>
              <w:snapToGrid w:val="0"/>
              <w:spacing w:beforeLines="0" w:afterLines="0" w:line="30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1</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运动黏度</w:t>
            </w:r>
          </w:p>
        </w:tc>
        <w:tc>
          <w:tcPr>
            <w:tcW w:w="2332" w:type="dxa"/>
            <w:vMerge w:val="restart"/>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GB17411-2015</w:t>
            </w:r>
            <w:r>
              <w:rPr>
                <w:rFonts w:hint="eastAsia" w:ascii="仿宋" w:hAnsi="仿宋" w:eastAsia="仿宋" w:cs="Times New Roman"/>
                <w:sz w:val="21"/>
                <w:szCs w:val="24"/>
                <w:lang w:eastAsia="zh-CN"/>
              </w:rPr>
              <w:t>《</w:t>
            </w:r>
            <w:r>
              <w:rPr>
                <w:rFonts w:hint="eastAsia" w:ascii="仿宋" w:hAnsi="仿宋" w:eastAsia="仿宋" w:cs="Times New Roman"/>
                <w:sz w:val="21"/>
                <w:szCs w:val="24"/>
                <w:lang w:val="en-US" w:eastAsia="zh-CN"/>
              </w:rPr>
              <w:t>船用燃料油</w:t>
            </w:r>
            <w:r>
              <w:rPr>
                <w:rFonts w:hint="eastAsia" w:ascii="仿宋" w:hAnsi="仿宋" w:eastAsia="仿宋" w:cs="Times New Roman"/>
                <w:sz w:val="21"/>
                <w:szCs w:val="24"/>
                <w:lang w:eastAsia="zh-CN"/>
              </w:rPr>
              <w:t>(内河船用燃料油）</w:t>
            </w:r>
          </w:p>
          <w:p>
            <w:pPr>
              <w:snapToGrid w:val="0"/>
              <w:spacing w:beforeLines="0" w:afterLines="0" w:line="300" w:lineRule="exact"/>
              <w:jc w:val="center"/>
              <w:rPr>
                <w:rFonts w:hint="eastAsia" w:ascii="仿宋" w:hAnsi="仿宋" w:eastAsia="仿宋" w:cs="Times New Roman"/>
                <w:sz w:val="21"/>
                <w:szCs w:val="24"/>
                <w:lang w:eastAsia="zh-CN"/>
              </w:rPr>
            </w:pPr>
            <w:r>
              <w:rPr>
                <w:rFonts w:hint="eastAsia" w:ascii="仿宋" w:hAnsi="仿宋" w:eastAsia="仿宋" w:cs="Times New Roman"/>
                <w:sz w:val="21"/>
                <w:szCs w:val="24"/>
                <w:lang w:eastAsia="zh-CN"/>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2</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密度</w:t>
            </w:r>
          </w:p>
        </w:tc>
        <w:tc>
          <w:tcPr>
            <w:tcW w:w="2332"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1"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3</w:t>
            </w:r>
          </w:p>
        </w:tc>
        <w:tc>
          <w:tcPr>
            <w:tcW w:w="1718"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闪点（闭口）</w:t>
            </w:r>
          </w:p>
        </w:tc>
        <w:tc>
          <w:tcPr>
            <w:tcW w:w="2332"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23"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681"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71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751" w:type="dxa"/>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凡是注日期的文件，其随后所有的修改单（不包括勘误的内容）或修订版不适用于本细则。凡是不注日期的文件，其最新版本适用于本细则。</w:t>
      </w:r>
    </w:p>
    <w:p>
      <w:pPr>
        <w:spacing w:beforeLines="0" w:afterLines="0"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五、判定依据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1、依据标准</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 GB 17930-2016 车用汽油</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 GB 19147-2016 车用柴油</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3. </w:t>
      </w:r>
      <w:r>
        <w:rPr>
          <w:rFonts w:hint="eastAsia" w:ascii="仿宋_GB2312" w:hAnsi="仿宋_GB2312" w:eastAsia="仿宋_GB2312" w:cs="仿宋_GB2312"/>
          <w:sz w:val="32"/>
          <w:szCs w:val="32"/>
          <w:u w:val="none"/>
        </w:rPr>
        <w:t>GB 19147-2016 车用柴油 第1号修改单</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GB 17411-2015 船用燃料油</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u w:val="none"/>
          <w:lang w:val="en-US" w:eastAsia="zh-CN"/>
        </w:rPr>
        <w:t xml:space="preserve">5. </w:t>
      </w:r>
      <w:r>
        <w:rPr>
          <w:rFonts w:hint="eastAsia" w:ascii="仿宋_GB2312" w:hAnsi="仿宋_GB2312" w:eastAsia="仿宋_GB2312" w:cs="仿宋_GB2312"/>
          <w:sz w:val="32"/>
          <w:szCs w:val="32"/>
          <w:u w:val="none"/>
        </w:rPr>
        <w:t>GB 17411-2015 船用燃料油 第1号修改单</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现行有效的企业标准、团体标准、地方标准及产品明示质量要求</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《广东省人民政府关于全面推广使用国ⅥB车用汽油的通知》（粤府函〔2022〕159号）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2、判定原则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六、样品管理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七、异议处理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八、其他（注意事项）</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被抽样单位无证经营等情形的，应当终止抽检，并立即报告东莞市市场监督管理局。</w:t>
      </w:r>
    </w:p>
    <w:p>
      <w:pPr>
        <w:spacing w:beforeLines="0" w:afterLines="0" w:line="360" w:lineRule="auto"/>
        <w:ind w:firstLine="560" w:firstLineChars="200"/>
        <w:jc w:val="left"/>
        <w:rPr>
          <w:rFonts w:hint="eastAsia" w:ascii="仿宋" w:hAnsi="仿宋" w:eastAsia="仿宋" w:cs="宋体"/>
          <w:color w:val="000000"/>
          <w:kern w:val="0"/>
          <w:sz w:val="28"/>
          <w:szCs w:val="28"/>
        </w:rPr>
      </w:pPr>
    </w:p>
    <w:p>
      <w:pPr>
        <w:spacing w:beforeLines="0" w:afterLines="0" w:line="360" w:lineRule="auto"/>
        <w:ind w:firstLine="560" w:firstLineChars="200"/>
        <w:jc w:val="left"/>
        <w:rPr>
          <w:rFonts w:hint="eastAsia" w:ascii="仿宋" w:hAnsi="仿宋" w:eastAsia="仿宋" w:cs="宋体"/>
          <w:color w:val="000000"/>
          <w:kern w:val="0"/>
          <w:sz w:val="28"/>
          <w:szCs w:val="28"/>
        </w:rPr>
      </w:pPr>
    </w:p>
    <w:p>
      <w:pPr>
        <w:pStyle w:val="2"/>
        <w:rPr>
          <w:rFonts w:hint="eastAsia"/>
        </w:rPr>
      </w:pPr>
    </w:p>
    <w:p>
      <w:pPr>
        <w:pageBreakBefore/>
        <w:widowControl w:val="0"/>
        <w:wordWrap/>
        <w:adjustRightInd w:val="0"/>
        <w:snapToGrid w:val="0"/>
        <w:spacing w:beforeLines="0" w:afterLines="0" w:line="560" w:lineRule="exact"/>
        <w:ind w:firstLine="1680" w:firstLineChars="800"/>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21"/>
          <w:szCs w:val="21"/>
          <w:lang w:val="en-US" w:eastAsia="zh-CN"/>
        </w:rPr>
        <w:t xml:space="preserve">                                              DG-HG-002-2023          </w:t>
      </w:r>
    </w:p>
    <w:p>
      <w:pPr>
        <w:spacing w:beforeLines="0" w:afterLines="0" w:line="590" w:lineRule="exact"/>
        <w:ind w:firstLine="320" w:firstLineChars="100"/>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202</w:t>
      </w:r>
      <w:r>
        <w:rPr>
          <w:rFonts w:hint="eastAsia" w:ascii="方正大标宋简体" w:hAnsi="方正大标宋简体" w:eastAsia="方正大标宋简体" w:cs="方正大标宋简体"/>
          <w:sz w:val="32"/>
          <w:szCs w:val="32"/>
          <w:lang w:val="en-US" w:eastAsia="zh-CN"/>
        </w:rPr>
        <w:t>3</w:t>
      </w:r>
      <w:r>
        <w:rPr>
          <w:rFonts w:hint="eastAsia" w:ascii="方正大标宋简体" w:hAnsi="方正大标宋简体" w:eastAsia="方正大标宋简体" w:cs="方正大标宋简体"/>
          <w:sz w:val="32"/>
          <w:szCs w:val="32"/>
          <w:lang w:eastAsia="zh-CN"/>
        </w:rPr>
        <w:t>年东莞市车用尿素水溶液产品质量监督抽查实施细则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本细则适用于东莞市市场监督管理局组织的车用尿素水溶液产品质量监督抽查的抽样、检验工作。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抽查产品名称（种类）：车用尿素水溶液；</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lang w:eastAsia="zh-CN"/>
        </w:rPr>
        <w:t>市辖区内与抽检的样本标称相同的生产者，按照同一标准生产的同一商标、同一型号（或者规格）的</w:t>
      </w:r>
      <w:r>
        <w:rPr>
          <w:rFonts w:hint="eastAsia" w:ascii="仿宋_GB2312" w:hAnsi="仿宋_GB2312" w:eastAsia="仿宋_GB2312" w:cs="仿宋_GB2312"/>
          <w:sz w:val="32"/>
          <w:szCs w:val="32"/>
          <w:lang w:val="en-US" w:eastAsia="zh-CN"/>
        </w:rPr>
        <w:t>东莞市</w:t>
      </w:r>
      <w:r>
        <w:rPr>
          <w:rFonts w:hint="eastAsia" w:ascii="仿宋_GB2312" w:hAnsi="仿宋_GB2312" w:eastAsia="仿宋_GB2312" w:cs="仿宋_GB2312"/>
          <w:sz w:val="32"/>
          <w:szCs w:val="32"/>
          <w:lang w:eastAsia="zh-CN"/>
        </w:rPr>
        <w:t xml:space="preserve">生产、流通、经营性服务领域的产品集合。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《产品质量监督抽查管理暂行办法》（国家市场监督管理总局令第18号）；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T/GDAQI 020-2022《产品质量监督抽查抽样检验技术服务规范》；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《东莞市市场监督管理局产品质量监督抽查管理工作指引》（东市监质监〔2020〕9号）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承检机构在抽样检验程序中根据实际情况及检验程序的法定性与有效性予以补充。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三、抽样方法及数量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1.抽样地点:东莞市。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2.抽样方法： </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每</w:t>
      </w:r>
      <w:r>
        <w:rPr>
          <w:rFonts w:hint="eastAsia" w:ascii="仿宋_GB2312" w:hAnsi="仿宋_GB2312" w:eastAsia="仿宋_GB2312" w:cs="仿宋_GB2312"/>
          <w:sz w:val="32"/>
          <w:szCs w:val="32"/>
        </w:rPr>
        <w:t>批次产品抽取不少于</w:t>
      </w:r>
      <w:r>
        <w:rPr>
          <w:rFonts w:ascii="仿宋_GB2312" w:hAnsi="仿宋_GB2312" w:eastAsia="仿宋_GB2312" w:cs="仿宋_GB2312"/>
          <w:sz w:val="32"/>
          <w:szCs w:val="32"/>
        </w:rPr>
        <w:t>2个独立包装，总量不少于</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升的样品，其中检验样品不少于</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升，备用样品不少于</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当产品独立包装＞20升或在成品罐抽样时，应按GB/T 4756-2015《石油液体手工取样法》取样，抽取不少于</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升样品，平均分为2组，其中1组为检验样品，另1组为备用样品。</w:t>
      </w:r>
    </w:p>
    <w:p>
      <w:pPr>
        <w:widowControl w:val="0"/>
        <w:wordWrap/>
        <w:adjustRightInd/>
        <w:snapToGrid/>
        <w:spacing w:line="560" w:lineRule="exact"/>
        <w:ind w:firstLine="643" w:firstLineChars="200"/>
        <w:textAlignment w:val="auto"/>
        <w:outlineLvl w:val="9"/>
        <w:rPr>
          <w:rFonts w:hint="eastAsia"/>
          <w:lang w:eastAsia="zh-CN"/>
        </w:rPr>
      </w:pPr>
      <w:r>
        <w:rPr>
          <w:rFonts w:hint="eastAsia" w:ascii="仿宋_GB2312" w:hAnsi="仿宋_GB2312" w:eastAsia="仿宋_GB2312" w:cs="仿宋_GB2312"/>
          <w:b/>
          <w:bCs/>
          <w:sz w:val="32"/>
          <w:szCs w:val="32"/>
          <w:lang w:val="en-US" w:eastAsia="zh-CN"/>
        </w:rPr>
        <w:t>注：样品取样后宜在三周内进行分析，以避免样品中氨含量的变化。</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3.样品数量和要求：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抽样数量：每款产品抽取2组样品，第1组用于检验，第2组用于备样。每组样品需抽取的样品数量如下表所示： </w:t>
      </w:r>
    </w:p>
    <w:tbl>
      <w:tblPr>
        <w:tblStyle w:val="6"/>
        <w:tblW w:w="8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59"/>
        <w:gridCol w:w="207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序号</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产品名称</w:t>
            </w:r>
          </w:p>
        </w:tc>
        <w:tc>
          <w:tcPr>
            <w:tcW w:w="20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第1组数量</w:t>
            </w: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车用尿素水溶液</w:t>
            </w:r>
          </w:p>
        </w:tc>
        <w:tc>
          <w:tcPr>
            <w:tcW w:w="2073"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至少2L</w:t>
            </w: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至少2L</w:t>
            </w: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检验样品由抽样人员以生产、销售产品的标价或出厂价购买，不会对样品质量造成实质性影响的样品除外。备用样品由生产企业（销售企业）无偿提供，由抽检人员一并带回检测机构。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被抽查产品的样品应有密封和防拆封措施，以保证其完整性、真实性，包括附在样品上的使用说明及其他信息；检验样品和备用样品必须分别封存。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四、检验依据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u w:val="none"/>
          <w:lang w:val="en-US" w:eastAsia="zh-CN"/>
        </w:rPr>
        <w:t>GB 29518-2013柴油发动机氮氧化物还原剂  尿素水溶液（AUS 32)</w:t>
      </w:r>
      <w:r>
        <w:rPr>
          <w:rFonts w:hint="eastAsia" w:ascii="仿宋_GB2312" w:hAnsi="仿宋_GB2312" w:eastAsia="仿宋_GB2312" w:cs="仿宋_GB2312"/>
          <w:sz w:val="32"/>
          <w:szCs w:val="32"/>
          <w:lang w:eastAsia="zh-CN"/>
        </w:rPr>
        <w:t xml:space="preserve">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五、主要检验项目及检验项目属性划分 </w:t>
      </w:r>
    </w:p>
    <w:tbl>
      <w:tblPr>
        <w:tblStyle w:val="6"/>
        <w:tblW w:w="9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1701"/>
        <w:gridCol w:w="851"/>
        <w:gridCol w:w="1093"/>
        <w:gridCol w:w="891"/>
        <w:gridCol w:w="113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依据标准</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10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非强制性</w:t>
            </w: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较重要项</w:t>
            </w:r>
          </w:p>
        </w:tc>
        <w:tc>
          <w:tcPr>
            <w:tcW w:w="11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次重要项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1</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尿素含量</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lang w:eastAsia="zh-CN"/>
              </w:rPr>
            </w:pPr>
            <w:r>
              <w:rPr>
                <w:rFonts w:hint="eastAsia" w:ascii="仿宋" w:hAnsi="仿宋" w:eastAsia="仿宋" w:cs="Times New Roman"/>
                <w:sz w:val="21"/>
                <w:szCs w:val="24"/>
              </w:rPr>
              <w:t>GB 29518-2013</w:t>
            </w:r>
            <w:r>
              <w:rPr>
                <w:rFonts w:hint="eastAsia" w:ascii="仿宋" w:hAnsi="仿宋" w:eastAsia="仿宋" w:cs="Times New Roman"/>
                <w:sz w:val="21"/>
                <w:szCs w:val="24"/>
                <w:lang w:eastAsia="zh-CN"/>
              </w:rPr>
              <w:t>《</w:t>
            </w:r>
            <w:r>
              <w:rPr>
                <w:rFonts w:hint="eastAsia" w:ascii="仿宋" w:hAnsi="仿宋" w:eastAsia="仿宋" w:cs="Times New Roman"/>
                <w:sz w:val="21"/>
                <w:szCs w:val="24"/>
                <w:lang w:val="en-US" w:eastAsia="zh-CN"/>
              </w:rPr>
              <w:t>柴油发动机氮氧化物还原剂  尿素水溶液（AUS 32)</w:t>
            </w:r>
            <w:r>
              <w:rPr>
                <w:rFonts w:hint="eastAsia" w:ascii="仿宋" w:hAnsi="仿宋" w:eastAsia="仿宋" w:cs="Times New Roman"/>
                <w:sz w:val="21"/>
                <w:szCs w:val="24"/>
                <w:lang w:eastAsia="zh-CN"/>
              </w:rPr>
              <w:t>》</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11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2</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密度（20℃）</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3</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折光率</w:t>
            </w: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0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89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r>
              <w:rPr>
                <w:rFonts w:hint="default" w:ascii="仿宋" w:hAnsi="仿宋" w:eastAsia="仿宋" w:cs="Times New Roman"/>
                <w:sz w:val="21"/>
                <w:szCs w:val="24"/>
              </w:rPr>
              <w:t>●</w:t>
            </w:r>
          </w:p>
        </w:tc>
        <w:tc>
          <w:tcPr>
            <w:tcW w:w="1174"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六、判定原则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当被检样品明示的质量要求劣于或不包含监督抽查实施细则中依据的强制性标准要求时，应按照强制性标准要求判定。</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r>
        <w:rPr>
          <w:rFonts w:hint="eastAsia" w:ascii="黑体" w:hAnsi="黑体" w:eastAsia="黑体" w:cs="黑体"/>
          <w:sz w:val="32"/>
          <w:szCs w:val="32"/>
          <w:lang w:eastAsia="zh-CN"/>
        </w:rPr>
        <w:t>。</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七、样品管理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八、异议处理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被抽样单位涉嫌存在无证等情形的，应当终止检验，立即报告东莞市市场监督管理局。</w:t>
      </w: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spacing w:beforeLines="0" w:afterLines="0" w:line="560" w:lineRule="exact"/>
        <w:ind w:firstLine="640" w:firstLineChars="200"/>
        <w:rPr>
          <w:rFonts w:hint="eastAsia" w:ascii="仿宋_GB2312" w:hAnsi="仿宋_GB2312" w:eastAsia="仿宋_GB2312" w:cs="仿宋_GB2312"/>
          <w:sz w:val="32"/>
          <w:szCs w:val="32"/>
          <w:lang w:eastAsia="zh-CN"/>
        </w:rPr>
      </w:pPr>
    </w:p>
    <w:p>
      <w:pPr>
        <w:pStyle w:val="4"/>
        <w:spacing w:beforeLines="0" w:afterLines="0"/>
        <w:rPr>
          <w:rFonts w:hint="eastAsia" w:ascii="仿宋_GB2312" w:hAnsi="仿宋_GB2312" w:eastAsia="仿宋_GB2312" w:cs="仿宋_GB2312"/>
          <w:sz w:val="32"/>
          <w:szCs w:val="32"/>
          <w:lang w:val="en-US" w:eastAsia="zh-CN"/>
        </w:rPr>
      </w:pPr>
    </w:p>
    <w:p>
      <w:pPr>
        <w:pageBreakBefore/>
        <w:widowControl w:val="0"/>
        <w:wordWrap/>
        <w:adjustRightInd w:val="0"/>
        <w:snapToGrid w:val="0"/>
        <w:spacing w:beforeLines="0" w:afterLines="0" w:line="560" w:lineRule="exact"/>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color w:val="000000"/>
          <w:sz w:val="21"/>
          <w:szCs w:val="21"/>
          <w:lang w:val="en-US" w:eastAsia="zh-CN"/>
        </w:rPr>
        <w:t xml:space="preserve">                                                       DG-HG-003-2023          </w:t>
      </w:r>
    </w:p>
    <w:p>
      <w:pPr>
        <w:widowControl w:val="0"/>
        <w:wordWrap/>
        <w:adjustRightInd/>
        <w:snapToGrid/>
        <w:spacing w:beforeLines="0" w:afterLines="0" w:line="560" w:lineRule="exact"/>
        <w:jc w:val="center"/>
        <w:textAlignment w:val="auto"/>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lang w:eastAsia="zh-CN"/>
        </w:rPr>
        <w:t>202</w:t>
      </w:r>
      <w:r>
        <w:rPr>
          <w:rFonts w:hint="eastAsia" w:ascii="方正大标宋简体" w:hAnsi="方正大标宋简体" w:eastAsia="方正大标宋简体" w:cs="方正大标宋简体"/>
          <w:sz w:val="32"/>
          <w:szCs w:val="32"/>
          <w:lang w:val="en-US" w:eastAsia="zh-CN"/>
        </w:rPr>
        <w:t>3</w:t>
      </w:r>
      <w:r>
        <w:rPr>
          <w:rFonts w:hint="eastAsia" w:ascii="方正大标宋简体" w:hAnsi="方正大标宋简体" w:eastAsia="方正大标宋简体" w:cs="方正大标宋简体"/>
          <w:sz w:val="32"/>
          <w:szCs w:val="32"/>
          <w:lang w:eastAsia="zh-CN"/>
        </w:rPr>
        <w:t>年东莞市车用</w:t>
      </w:r>
      <w:r>
        <w:rPr>
          <w:rFonts w:hint="eastAsia" w:ascii="方正大标宋简体" w:hAnsi="方正大标宋简体" w:eastAsia="方正大标宋简体" w:cs="方正大标宋简体"/>
          <w:sz w:val="32"/>
          <w:szCs w:val="32"/>
          <w:lang w:val="en-US" w:eastAsia="zh-CN"/>
        </w:rPr>
        <w:t>汽油清净剂</w:t>
      </w:r>
      <w:r>
        <w:rPr>
          <w:rFonts w:hint="eastAsia" w:ascii="方正大标宋简体" w:hAnsi="方正大标宋简体" w:eastAsia="方正大标宋简体" w:cs="方正大标宋简体"/>
          <w:sz w:val="32"/>
          <w:szCs w:val="32"/>
          <w:lang w:eastAsia="zh-CN"/>
        </w:rPr>
        <w:t>产品质量监督抽查实施细则</w:t>
      </w:r>
    </w:p>
    <w:p>
      <w:pPr>
        <w:spacing w:beforeLines="0" w:afterLines="0" w:line="590" w:lineRule="exact"/>
        <w:ind w:firstLine="640" w:firstLineChars="200"/>
        <w:rPr>
          <w:rFonts w:hint="eastAsia" w:ascii="仿宋_GB2312" w:hAnsi="仿宋_GB2312" w:eastAsia="仿宋_GB2312" w:cs="仿宋_GB2312"/>
          <w:sz w:val="32"/>
          <w:szCs w:val="32"/>
          <w:lang w:eastAsia="zh-CN"/>
        </w:rPr>
      </w:pP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本细则适用于东莞市市场监督管理局组织的车用</w:t>
      </w:r>
      <w:r>
        <w:rPr>
          <w:rFonts w:hint="eastAsia" w:ascii="仿宋_GB2312" w:hAnsi="仿宋_GB2312" w:eastAsia="仿宋_GB2312" w:cs="仿宋_GB2312"/>
          <w:sz w:val="32"/>
          <w:szCs w:val="32"/>
          <w:lang w:val="en-US" w:eastAsia="zh-CN"/>
        </w:rPr>
        <w:t>汽油清净剂</w:t>
      </w:r>
      <w:r>
        <w:rPr>
          <w:rFonts w:hint="eastAsia" w:ascii="仿宋_GB2312" w:hAnsi="仿宋_GB2312" w:eastAsia="仿宋_GB2312" w:cs="仿宋_GB2312"/>
          <w:sz w:val="32"/>
          <w:szCs w:val="32"/>
          <w:lang w:eastAsia="zh-CN"/>
        </w:rPr>
        <w:t xml:space="preserve">产品质量监督抽查的抽样、检验工作。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一、抽查范围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抽查产品名称（种类）：车用</w:t>
      </w:r>
      <w:r>
        <w:rPr>
          <w:rFonts w:hint="eastAsia" w:ascii="仿宋_GB2312" w:hAnsi="仿宋_GB2312" w:eastAsia="仿宋_GB2312" w:cs="仿宋_GB2312"/>
          <w:sz w:val="32"/>
          <w:szCs w:val="32"/>
          <w:lang w:val="en-US" w:eastAsia="zh-CN"/>
        </w:rPr>
        <w:t>汽油清净剂</w:t>
      </w:r>
      <w:r>
        <w:rPr>
          <w:rFonts w:hint="eastAsia" w:ascii="仿宋_GB2312" w:hAnsi="仿宋_GB2312" w:eastAsia="仿宋_GB2312" w:cs="仿宋_GB2312"/>
          <w:sz w:val="32"/>
          <w:szCs w:val="32"/>
          <w:lang w:eastAsia="zh-CN"/>
        </w:rPr>
        <w:t>；</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监督（核查）总体：</w:t>
      </w:r>
      <w:r>
        <w:rPr>
          <w:rFonts w:hint="eastAsia" w:ascii="仿宋_GB2312" w:hAnsi="仿宋_GB2312" w:eastAsia="仿宋_GB2312" w:cs="仿宋_GB2312"/>
          <w:sz w:val="32"/>
          <w:szCs w:val="32"/>
          <w:lang w:val="en-US" w:eastAsia="zh-CN"/>
        </w:rPr>
        <w:t>东莞</w:t>
      </w:r>
      <w:r>
        <w:rPr>
          <w:rFonts w:hint="eastAsia" w:ascii="仿宋_GB2312" w:hAnsi="仿宋_GB2312" w:eastAsia="仿宋_GB2312" w:cs="仿宋_GB2312"/>
          <w:sz w:val="32"/>
          <w:szCs w:val="32"/>
          <w:lang w:eastAsia="zh-CN"/>
        </w:rPr>
        <w:t>市辖区内与抽检的样本标称相同的生产者，按照同一标准生产的同一商标、同一型号（或者规格）的</w:t>
      </w:r>
      <w:r>
        <w:rPr>
          <w:rFonts w:hint="eastAsia" w:ascii="仿宋_GB2312" w:hAnsi="仿宋_GB2312" w:eastAsia="仿宋_GB2312" w:cs="仿宋_GB2312"/>
          <w:sz w:val="32"/>
          <w:szCs w:val="32"/>
          <w:lang w:val="en-US" w:eastAsia="zh-CN"/>
        </w:rPr>
        <w:t>东莞市</w:t>
      </w:r>
      <w:r>
        <w:rPr>
          <w:rFonts w:hint="eastAsia" w:ascii="仿宋_GB2312" w:hAnsi="仿宋_GB2312" w:eastAsia="仿宋_GB2312" w:cs="仿宋_GB2312"/>
          <w:sz w:val="32"/>
          <w:szCs w:val="32"/>
          <w:lang w:eastAsia="zh-CN"/>
        </w:rPr>
        <w:t xml:space="preserve">生产、流通、经营性服务领域的产品集合。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二、抽样、检验程序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《产品质量监督抽查管理暂行办法》（国家市场监督管理总局令第18号）；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T/GDAQI 020-2022《产品质量监督抽查抽样检验技术服务规范》；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《东莞市市场监督管理局产品质量监督抽查管理工作指引》（东市监质监〔2020〕9号）</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承检机构在抽样检验程序中根据实际情况及检验程序的法定性与有效性予以补充。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三、抽样方法及数量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1.抽样地点:东莞市。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2.抽样方法： </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确定被抽样对象应符合</w:t>
      </w:r>
      <w:r>
        <w:rPr>
          <w:rFonts w:hint="eastAsia" w:ascii="仿宋_GB2312" w:hAnsi="仿宋_GB2312" w:eastAsia="仿宋_GB2312" w:cs="仿宋_GB2312"/>
          <w:sz w:val="32"/>
          <w:szCs w:val="32"/>
          <w:lang w:eastAsia="zh-CN"/>
        </w:rPr>
        <w:t>《东莞市市场监督管理局产品质量监督抽查管理工作指引》（东市监质监〔2020〕9号）第三章中的相关要求、T/GDAQI 020-2022</w:t>
      </w:r>
      <w:r>
        <w:rPr>
          <w:rFonts w:hint="eastAsia" w:ascii="仿宋_GB2312" w:hAnsi="仿宋_GB2312" w:eastAsia="仿宋_GB2312" w:cs="仿宋_GB2312"/>
          <w:sz w:val="32"/>
          <w:szCs w:val="32"/>
        </w:rPr>
        <w:t>《产品质量监督抽查抽样检验技术服务规范》5.3.3.3和第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章抽样的相关要求。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每批次产品抽取不少于350mL样品两份，其中1份作为检验样品，1份作为备用样品。</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3.样品数量和要求：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抽样数量：每款产品抽取2组样品，第1组用于检验，第2组用于备样。每组样品需抽取的样品数量如下表所示： </w:t>
      </w:r>
    </w:p>
    <w:tbl>
      <w:tblPr>
        <w:tblStyle w:val="6"/>
        <w:tblW w:w="88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3059"/>
        <w:gridCol w:w="207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序号</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产品名称</w:t>
            </w:r>
          </w:p>
        </w:tc>
        <w:tc>
          <w:tcPr>
            <w:tcW w:w="20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第1组数量</w:t>
            </w: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line="400" w:lineRule="exact"/>
              <w:jc w:val="center"/>
              <w:rPr>
                <w:rFonts w:hint="eastAsia" w:ascii="仿宋" w:hAnsi="仿宋" w:eastAsia="仿宋" w:cs="Times New Roman"/>
                <w:b/>
                <w:sz w:val="24"/>
                <w:szCs w:val="22"/>
              </w:rPr>
            </w:pPr>
            <w:r>
              <w:rPr>
                <w:rFonts w:hint="eastAsia" w:ascii="仿宋" w:hAnsi="仿宋" w:eastAsia="仿宋" w:cs="Times New Roman"/>
                <w:b/>
                <w:sz w:val="24"/>
                <w:szCs w:val="2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_GB2312" w:hAnsi="仿宋_GB2312" w:eastAsia="仿宋_GB2312" w:cs="仿宋_GB2312"/>
                <w:sz w:val="24"/>
                <w:szCs w:val="24"/>
                <w:lang w:eastAsia="zh-CN"/>
              </w:rPr>
              <w:t>车用</w:t>
            </w:r>
            <w:r>
              <w:rPr>
                <w:rFonts w:hint="eastAsia" w:ascii="仿宋_GB2312" w:hAnsi="仿宋_GB2312" w:eastAsia="仿宋_GB2312" w:cs="仿宋_GB2312"/>
                <w:sz w:val="24"/>
                <w:szCs w:val="24"/>
                <w:lang w:val="en-US" w:eastAsia="zh-CN"/>
              </w:rPr>
              <w:t>汽油清净剂</w:t>
            </w:r>
          </w:p>
        </w:tc>
        <w:tc>
          <w:tcPr>
            <w:tcW w:w="2073"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至少350mL</w:t>
            </w:r>
          </w:p>
        </w:tc>
        <w:tc>
          <w:tcPr>
            <w:tcW w:w="2045" w:type="dxa"/>
            <w:tcBorders>
              <w:top w:val="single" w:color="auto" w:sz="4" w:space="0"/>
              <w:left w:val="single" w:color="auto" w:sz="4" w:space="0"/>
              <w:bottom w:val="single" w:color="auto" w:sz="4" w:space="0"/>
              <w:right w:val="single" w:color="auto" w:sz="4" w:space="0"/>
              <w:tl2br w:val="nil"/>
              <w:tr2bl w:val="nil"/>
            </w:tcBorders>
            <w:vAlign w:val="center"/>
          </w:tcPr>
          <w:p>
            <w:pPr>
              <w:widowControl/>
              <w:wordWrap/>
              <w:adjustRightInd/>
              <w:snapToGrid/>
              <w:spacing w:before="0" w:beforeLines="50" w:afterLines="0" w:line="360" w:lineRule="auto"/>
              <w:jc w:val="center"/>
              <w:textAlignment w:val="auto"/>
              <w:rPr>
                <w:rFonts w:hint="eastAsia" w:ascii="仿宋" w:hAnsi="仿宋" w:eastAsia="仿宋" w:cs="宋体"/>
                <w:color w:val="000000"/>
                <w:kern w:val="0"/>
                <w:sz w:val="22"/>
                <w:szCs w:val="22"/>
              </w:rPr>
            </w:pPr>
            <w:r>
              <w:rPr>
                <w:rFonts w:hint="eastAsia" w:ascii="仿宋" w:hAnsi="仿宋" w:eastAsia="仿宋" w:cs="宋体"/>
                <w:color w:val="000000"/>
                <w:kern w:val="0"/>
                <w:sz w:val="22"/>
                <w:szCs w:val="22"/>
                <w:lang w:val="en-US" w:eastAsia="zh-CN"/>
              </w:rPr>
              <w:t>至少350mL</w:t>
            </w:r>
          </w:p>
        </w:tc>
      </w:tr>
    </w:tbl>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检验样品由抽样人员以生产、销售产品的标价或出厂价购买，不会对样品质量造成实质性影响的样品除外。备用样品由生产企业（销售企业）无偿提供，由抽检人员一并带回检测机构。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4.封样要求：</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被抽查产品的样品应有密封和防拆封措施，以保证其完整性、真实性，包括附在样品上的使用说明及其他信息；检验样品和备用样品必须分别封存。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四、检验依据</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u w:val="none"/>
        </w:rPr>
        <w:t>GB 19592—2019 车用汽油清净剂</w:t>
      </w:r>
      <w:r>
        <w:rPr>
          <w:rFonts w:hint="eastAsia" w:ascii="仿宋_GB2312" w:hAnsi="仿宋_GB2312" w:eastAsia="仿宋_GB2312" w:cs="仿宋_GB2312"/>
          <w:sz w:val="32"/>
          <w:szCs w:val="32"/>
          <w:lang w:eastAsia="zh-CN"/>
        </w:rPr>
        <w:t xml:space="preserve"> </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五、主要检验项目及检验项目属性划分 </w:t>
      </w:r>
    </w:p>
    <w:tbl>
      <w:tblPr>
        <w:tblStyle w:val="6"/>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417"/>
        <w:gridCol w:w="1701"/>
        <w:gridCol w:w="709"/>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41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检验项目</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依据法律法规或标准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强制性</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非强</w:t>
            </w:r>
          </w:p>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制性</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重要项</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较重</w:t>
            </w:r>
          </w:p>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要项</w:t>
            </w:r>
          </w:p>
        </w:tc>
        <w:tc>
          <w:tcPr>
            <w:tcW w:w="892" w:type="dxa"/>
            <w:tcBorders>
              <w:top w:val="single" w:color="auto" w:sz="4" w:space="0"/>
              <w:left w:val="single" w:color="auto" w:sz="4" w:space="0"/>
              <w:right w:val="single" w:color="auto" w:sz="4" w:space="0"/>
            </w:tcBorders>
            <w:vAlign w:val="center"/>
          </w:tcPr>
          <w:p>
            <w:pPr>
              <w:snapToGrid w:val="0"/>
              <w:spacing w:beforeLines="0" w:afterLines="0" w:line="260" w:lineRule="exact"/>
              <w:jc w:val="center"/>
              <w:rPr>
                <w:rFonts w:hint="eastAsia" w:ascii="仿宋" w:hAnsi="仿宋" w:eastAsia="仿宋" w:cs="Times New Roman"/>
                <w:b/>
                <w:sz w:val="21"/>
                <w:szCs w:val="24"/>
              </w:rPr>
            </w:pPr>
            <w:r>
              <w:rPr>
                <w:rFonts w:hint="eastAsia" w:ascii="仿宋" w:hAnsi="仿宋" w:eastAsia="仿宋" w:cs="Times New Roman"/>
                <w:b/>
                <w:sz w:val="21"/>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1</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倾点</w:t>
            </w:r>
          </w:p>
        </w:tc>
        <w:tc>
          <w:tcPr>
            <w:tcW w:w="1701" w:type="dxa"/>
            <w:vMerge w:val="restart"/>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 xml:space="preserve"> GB19592</w:t>
            </w:r>
            <w:r>
              <w:rPr>
                <w:rFonts w:hint="eastAsia" w:ascii="仿宋" w:hAnsi="仿宋" w:eastAsia="仿宋" w:cs="Times New Roman"/>
                <w:sz w:val="21"/>
                <w:szCs w:val="24"/>
                <w:lang w:val="en-US" w:eastAsia="zh-CN"/>
              </w:rPr>
              <w:t>-</w:t>
            </w:r>
            <w:r>
              <w:rPr>
                <w:rFonts w:hint="eastAsia" w:ascii="仿宋" w:hAnsi="仿宋" w:eastAsia="仿宋" w:cs="Times New Roman"/>
                <w:sz w:val="21"/>
                <w:szCs w:val="24"/>
              </w:rPr>
              <w:t>2019</w:t>
            </w:r>
            <w:r>
              <w:rPr>
                <w:rFonts w:hint="eastAsia" w:ascii="仿宋" w:hAnsi="仿宋" w:eastAsia="仿宋" w:cs="Times New Roman"/>
                <w:sz w:val="21"/>
                <w:szCs w:val="24"/>
                <w:lang w:eastAsia="zh-CN"/>
              </w:rPr>
              <w:t>《车用汽油清净剂》</w:t>
            </w:r>
            <w:r>
              <w:rPr>
                <w:rFonts w:hint="eastAsia" w:ascii="仿宋" w:hAnsi="仿宋" w:eastAsia="仿宋" w:cs="Times New Roman"/>
                <w:sz w:val="21"/>
                <w:szCs w:val="24"/>
              </w:rPr>
              <w:t xml:space="preserve"> </w:t>
            </w: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2</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闪点（闭口）</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3</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硫含量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4</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氯含量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5</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防锈性/锈蚀程度</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6</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破乳性</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17" w:type="dxa"/>
            <w:vAlign w:val="center"/>
          </w:tcPr>
          <w:p>
            <w:pPr>
              <w:snapToGrid w:val="0"/>
              <w:spacing w:beforeLines="0" w:afterLines="0" w:line="300" w:lineRule="exact"/>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7</w:t>
            </w:r>
          </w:p>
        </w:tc>
        <w:tc>
          <w:tcPr>
            <w:tcW w:w="1417"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模拟进气阀沉积物质量</w:t>
            </w:r>
          </w:p>
        </w:tc>
        <w:tc>
          <w:tcPr>
            <w:tcW w:w="1701" w:type="dxa"/>
            <w:vMerge w:val="continue"/>
            <w:vAlign w:val="center"/>
          </w:tcPr>
          <w:p>
            <w:pPr>
              <w:snapToGrid w:val="0"/>
              <w:spacing w:beforeLines="0" w:afterLines="0" w:line="300" w:lineRule="exact"/>
              <w:jc w:val="center"/>
              <w:rPr>
                <w:rFonts w:hint="eastAsia" w:ascii="仿宋" w:hAnsi="仿宋" w:eastAsia="仿宋" w:cs="Times New Roman"/>
                <w:sz w:val="21"/>
                <w:szCs w:val="24"/>
              </w:rPr>
            </w:pPr>
          </w:p>
        </w:tc>
        <w:tc>
          <w:tcPr>
            <w:tcW w:w="709"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51"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850" w:type="dxa"/>
            <w:vAlign w:val="center"/>
          </w:tcPr>
          <w:p>
            <w:pPr>
              <w:snapToGrid w:val="0"/>
              <w:spacing w:beforeLines="0" w:afterLines="0" w:line="300" w:lineRule="exact"/>
              <w:jc w:val="center"/>
              <w:rPr>
                <w:rFonts w:hint="eastAsia" w:ascii="仿宋" w:hAnsi="仿宋" w:eastAsia="仿宋" w:cs="Times New Roman"/>
                <w:sz w:val="21"/>
                <w:szCs w:val="24"/>
              </w:rPr>
            </w:pPr>
          </w:p>
        </w:tc>
        <w:tc>
          <w:tcPr>
            <w:tcW w:w="992" w:type="dxa"/>
            <w:vAlign w:val="center"/>
          </w:tcPr>
          <w:p>
            <w:pPr>
              <w:snapToGrid w:val="0"/>
              <w:spacing w:beforeLines="0" w:afterLines="0" w:line="300" w:lineRule="exact"/>
              <w:jc w:val="center"/>
              <w:rPr>
                <w:rFonts w:hint="eastAsia" w:ascii="仿宋" w:hAnsi="仿宋" w:eastAsia="仿宋" w:cs="Times New Roman"/>
                <w:sz w:val="21"/>
                <w:szCs w:val="24"/>
              </w:rPr>
            </w:pPr>
            <w:r>
              <w:rPr>
                <w:rFonts w:hint="eastAsia" w:ascii="仿宋" w:hAnsi="仿宋" w:eastAsia="仿宋" w:cs="Times New Roman"/>
                <w:sz w:val="21"/>
                <w:szCs w:val="24"/>
              </w:rPr>
              <w:t>●</w:t>
            </w:r>
          </w:p>
        </w:tc>
        <w:tc>
          <w:tcPr>
            <w:tcW w:w="892" w:type="dxa"/>
            <w:vAlign w:val="center"/>
          </w:tcPr>
          <w:p>
            <w:pPr>
              <w:snapToGrid w:val="0"/>
              <w:spacing w:beforeLines="0" w:afterLines="0" w:line="300" w:lineRule="exact"/>
              <w:jc w:val="center"/>
              <w:rPr>
                <w:rFonts w:hint="eastAsia" w:ascii="仿宋" w:hAnsi="仿宋" w:eastAsia="仿宋" w:cs="Times New Roman"/>
                <w:sz w:val="21"/>
                <w:szCs w:val="24"/>
              </w:rPr>
            </w:pPr>
          </w:p>
        </w:tc>
      </w:tr>
    </w:tbl>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六、判定原则 </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经检验，检验项目全部合格，判定样本所检质量指标未发现不合格，不对监督总体进行判定。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检验项目中任一项或一项以上不合格，根据T/GDAQI 020-202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《产品质量监督抽查抽样检验技术服务规范》</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.4 的相关要求，依据质量指标的重要程度及检测结果不合格的严重程度，对样本及监督总体进行综合判定：存在重要质量指标不合格时，所检样本为严重不合格，判定监督总体为严重不合格；仅较重要质量指标或次要质量指标不合格时，所检样本为不合格，判定监督总体为不合格。</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当被检样品明示的质量要求优于监督抽查实施细则中依据的标准要求时，应按被检样品明示的质量要求判定。</w:t>
      </w:r>
    </w:p>
    <w:p>
      <w:pPr>
        <w:spacing w:beforeLines="0" w:afterLines="0"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当被检样品明示的质量要求劣于或不包含监督抽查实施细则中依据的强制性标准要求时，应按照强制性标准要求判定；</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检验中发现因样品失效或者其他原因致使检验无法进行的，检验人员应如实记录，并提供相关证明材料，报送东莞市市场监督管理局</w:t>
      </w:r>
      <w:r>
        <w:rPr>
          <w:rFonts w:hint="eastAsia" w:ascii="黑体" w:hAnsi="黑体" w:eastAsia="黑体" w:cs="黑体"/>
          <w:sz w:val="32"/>
          <w:szCs w:val="32"/>
          <w:lang w:eastAsia="zh-CN"/>
        </w:rPr>
        <w:t>。</w:t>
      </w:r>
    </w:p>
    <w:p>
      <w:pPr>
        <w:spacing w:beforeLines="0" w:afterLines="0"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七、样品管理</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检验机构接收样品应当有专人负责检查、记录样品的外观、状态、封条有无破损及其他可能对检测结果或者综合判定产生影响的情况，并对检测和备用样品分别加贴相应标识后入库。 </w:t>
      </w:r>
    </w:p>
    <w:p>
      <w:pPr>
        <w:spacing w:beforeLines="0" w:afterLines="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八、异议处理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按照《东莞市市场监督管理局产品质量监督抽查管理工作指引》（东市监质监〔2020〕9号）第九章中的相关内容进行。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本细则未明确的监督抽查抽样检验相关技术规范，均按照《产品质量监督抽查管理暂行办法》（国家市场监督管理总局第 18号令）、《产品质量监督抽查抽样检验技术服务规范》（T/GDAQI 020-2022）、《东莞市市场监督管理局产品质量监督抽查管理工作指引》（东市监质监〔2020〕9号）规定执行。 </w:t>
      </w:r>
    </w:p>
    <w:p>
      <w:pPr>
        <w:spacing w:beforeLines="0" w:afterLines="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现样品封样及密封状态被破坏、样品异常损坏等现象，无法正常进行下一步有关项目检验和判定时，应重新抽样。必要时应采集并保存影像记录。被抽样产品实行生产许可、强制性产品认证等管理的，检验人员应当在检验前核实样品是否符合相应要求。发现被抽样单位涉嫌存在无证经营等情形的，应当终止抽检，并立即报告东莞市市场监督管理局</w:t>
      </w:r>
      <w:bookmarkStart w:id="0" w:name="_GoBack"/>
      <w:bookmarkEnd w:id="0"/>
      <w:r>
        <w:rPr>
          <w:rFonts w:hint="eastAsia" w:ascii="仿宋_GB2312" w:hAnsi="仿宋_GB2312" w:eastAsia="仿宋_GB2312" w:cs="仿宋_GB2312"/>
          <w:sz w:val="32"/>
          <w:szCs w:val="32"/>
          <w:lang w:eastAsia="zh-CN"/>
        </w:rPr>
        <w:t>。</w:t>
      </w:r>
    </w:p>
    <w:p>
      <w:pPr>
        <w:pageBreakBefore/>
        <w:widowControl w:val="0"/>
        <w:wordWrap/>
        <w:adjustRightInd/>
        <w:snapToGrid/>
        <w:spacing w:beforeLines="0" w:afterLines="0" w:line="560" w:lineRule="exact"/>
        <w:jc w:val="left"/>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rPr>
        <w:t>附件</w:t>
      </w:r>
      <w:r>
        <w:rPr>
          <w:rFonts w:hint="eastAsia" w:ascii="黑体" w:hAnsi="黑体" w:eastAsia="黑体" w:cs="黑体"/>
          <w:color w:val="000000"/>
          <w:sz w:val="21"/>
          <w:szCs w:val="21"/>
          <w:lang w:val="en-US" w:eastAsia="zh-CN"/>
        </w:rPr>
        <w:t>4</w:t>
      </w:r>
    </w:p>
    <w:p>
      <w:pPr>
        <w:pStyle w:val="3"/>
        <w:spacing w:before="221" w:beforeLines="0" w:afterLines="0" w:line="460" w:lineRule="exact"/>
        <w:ind w:left="0" w:right="896" w:firstLine="0"/>
        <w:jc w:val="center"/>
        <w:rPr>
          <w:rFonts w:hint="eastAsia"/>
          <w:sz w:val="30"/>
          <w:szCs w:val="30"/>
          <w:lang w:eastAsia="zh-CN"/>
        </w:rPr>
      </w:pPr>
      <w:r>
        <w:rPr>
          <w:rFonts w:hint="default" w:ascii="Times New Roman" w:eastAsia="Times New Roman"/>
          <w:sz w:val="30"/>
          <w:szCs w:val="30"/>
          <w:lang w:eastAsia="zh-CN"/>
        </w:rPr>
        <w:t>202</w:t>
      </w:r>
      <w:r>
        <w:rPr>
          <w:rFonts w:hint="eastAsia" w:ascii="Times New Roman" w:eastAsia="Times New Roman"/>
          <w:sz w:val="30"/>
          <w:szCs w:val="30"/>
          <w:lang w:val="en-US" w:eastAsia="zh-CN"/>
        </w:rPr>
        <w:t>3</w:t>
      </w:r>
      <w:r>
        <w:rPr>
          <w:rFonts w:hint="eastAsia"/>
          <w:sz w:val="30"/>
          <w:szCs w:val="30"/>
          <w:lang w:eastAsia="zh-CN"/>
        </w:rPr>
        <w:t>年东莞市车用汽油、柴油、船用燃料油(内河船用燃料油）、车用尿素水溶液、</w:t>
      </w:r>
      <w:r>
        <w:rPr>
          <w:rFonts w:hint="eastAsia"/>
          <w:sz w:val="30"/>
          <w:szCs w:val="30"/>
          <w:lang w:val="en-US" w:eastAsia="zh-CN"/>
        </w:rPr>
        <w:t>车用汽油清净剂</w:t>
      </w:r>
      <w:r>
        <w:rPr>
          <w:rFonts w:hint="eastAsia"/>
          <w:sz w:val="30"/>
          <w:szCs w:val="30"/>
          <w:lang w:eastAsia="zh-CN"/>
        </w:rPr>
        <w:t>产品质量监督抽查结果汇总表</w:t>
      </w:r>
    </w:p>
    <w:tbl>
      <w:tblPr>
        <w:tblStyle w:val="6"/>
        <w:tblpPr w:leftFromText="180" w:rightFromText="180" w:vertAnchor="text" w:horzAnchor="page" w:tblpX="1430" w:tblpY="17"/>
        <w:tblOverlap w:val="never"/>
        <w:tblW w:w="93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3321"/>
        <w:gridCol w:w="1134"/>
        <w:gridCol w:w="1166"/>
        <w:gridCol w:w="730"/>
        <w:gridCol w:w="2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17" w:beforeLines="0" w:afterLines="0"/>
              <w:rPr>
                <w:rFonts w:hint="eastAsia" w:ascii="方正小标宋简体" w:eastAsia="方正小标宋简体"/>
                <w:sz w:val="12"/>
                <w:szCs w:val="24"/>
                <w:lang w:eastAsia="zh-CN"/>
              </w:rPr>
            </w:pPr>
          </w:p>
          <w:p>
            <w:pPr>
              <w:pStyle w:val="7"/>
              <w:spacing w:beforeLines="0" w:afterLines="0"/>
              <w:ind w:left="113"/>
              <w:rPr>
                <w:rFonts w:hint="default"/>
                <w:b/>
                <w:sz w:val="24"/>
                <w:szCs w:val="24"/>
              </w:rPr>
            </w:pPr>
            <w:r>
              <w:rPr>
                <w:rFonts w:hint="eastAsia"/>
                <w:b/>
                <w:sz w:val="24"/>
                <w:szCs w:val="24"/>
              </w:rPr>
              <w:t>序号</w:t>
            </w: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17" w:beforeLines="0" w:afterLines="0"/>
              <w:rPr>
                <w:rFonts w:hint="eastAsia" w:ascii="方正小标宋简体" w:eastAsia="方正小标宋简体"/>
                <w:sz w:val="12"/>
                <w:szCs w:val="24"/>
              </w:rPr>
            </w:pPr>
          </w:p>
          <w:p>
            <w:pPr>
              <w:pStyle w:val="7"/>
              <w:spacing w:beforeLines="0" w:afterLines="0"/>
              <w:jc w:val="center"/>
              <w:rPr>
                <w:rFonts w:hint="default"/>
                <w:b/>
                <w:sz w:val="24"/>
                <w:szCs w:val="24"/>
              </w:rPr>
            </w:pPr>
            <w:r>
              <w:rPr>
                <w:rFonts w:hint="eastAsia"/>
                <w:b/>
                <w:sz w:val="24"/>
                <w:szCs w:val="24"/>
              </w:rPr>
              <w:t>被抽查单位名称</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86" w:beforeLines="0" w:afterLines="0" w:line="235" w:lineRule="auto"/>
              <w:ind w:left="259" w:right="127" w:hanging="120"/>
              <w:rPr>
                <w:rFonts w:hint="default"/>
                <w:b/>
                <w:sz w:val="24"/>
                <w:szCs w:val="24"/>
                <w:lang w:eastAsia="zh-CN"/>
              </w:rPr>
            </w:pPr>
            <w:r>
              <w:rPr>
                <w:rFonts w:hint="eastAsia"/>
                <w:b/>
                <w:sz w:val="24"/>
                <w:szCs w:val="24"/>
                <w:lang w:eastAsia="zh-CN"/>
              </w:rPr>
              <w:t>不符合项目</w:t>
            </w: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86" w:beforeLines="0" w:afterLines="0" w:line="235" w:lineRule="auto"/>
              <w:ind w:left="184" w:right="176"/>
              <w:rPr>
                <w:rFonts w:hint="default"/>
                <w:b/>
                <w:sz w:val="24"/>
                <w:szCs w:val="24"/>
                <w:lang w:eastAsia="zh-CN"/>
              </w:rPr>
            </w:pPr>
            <w:r>
              <w:rPr>
                <w:rFonts w:hint="eastAsia"/>
                <w:b/>
                <w:sz w:val="24"/>
                <w:szCs w:val="24"/>
                <w:lang w:eastAsia="zh-CN"/>
              </w:rPr>
              <w:t>不符合批次</w:t>
            </w: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86" w:beforeLines="0" w:afterLines="0" w:line="235" w:lineRule="auto"/>
              <w:ind w:left="123" w:right="114"/>
              <w:rPr>
                <w:rFonts w:hint="default"/>
                <w:b/>
                <w:sz w:val="24"/>
                <w:szCs w:val="24"/>
              </w:rPr>
            </w:pPr>
            <w:r>
              <w:rPr>
                <w:rFonts w:hint="eastAsia"/>
                <w:b/>
                <w:sz w:val="24"/>
                <w:szCs w:val="24"/>
              </w:rPr>
              <w:t>所在镇街</w:t>
            </w: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spacing w:before="17" w:beforeLines="0" w:afterLines="0"/>
              <w:rPr>
                <w:rFonts w:hint="eastAsia" w:ascii="方正小标宋简体" w:eastAsia="方正小标宋简体"/>
                <w:sz w:val="12"/>
                <w:szCs w:val="24"/>
              </w:rPr>
            </w:pPr>
          </w:p>
          <w:p>
            <w:pPr>
              <w:pStyle w:val="7"/>
              <w:spacing w:beforeLines="0" w:afterLines="0"/>
              <w:ind w:left="690" w:right="682"/>
              <w:jc w:val="center"/>
              <w:rPr>
                <w:rFonts w:hint="default"/>
                <w:b/>
                <w:sz w:val="24"/>
                <w:szCs w:val="24"/>
              </w:rPr>
            </w:pPr>
            <w:r>
              <w:rPr>
                <w:rFonts w:hint="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33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11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c>
          <w:tcPr>
            <w:tcW w:w="21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7"/>
              <w:adjustRightInd w:val="0"/>
              <w:spacing w:beforeLines="0" w:afterLines="0" w:line="580" w:lineRule="atLeast"/>
              <w:ind w:firstLine="680" w:firstLineChars="200"/>
              <w:rPr>
                <w:rFonts w:hint="default"/>
                <w:sz w:val="34"/>
                <w:szCs w:val="24"/>
              </w:rPr>
            </w:pPr>
          </w:p>
        </w:tc>
      </w:tr>
    </w:tbl>
    <w:p>
      <w:pPr>
        <w:pStyle w:val="2"/>
      </w:pPr>
    </w:p>
    <w:sectPr>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beforeLines="0" w:afterLines="0" w:line="14" w:lineRule="auto"/>
      <w:rPr>
        <w:rFonts w:hint="default"/>
        <w:sz w:val="20"/>
        <w:szCs w:val="24"/>
      </w:rPr>
    </w:pPr>
    <w:r>
      <w:rPr>
        <w:rFonts w:hint="default" w:ascii="Times New Roman" w:hAnsi="Times New Roman" w:eastAsia="宋体" w:cs="Times New Roman"/>
        <w:kern w:val="2"/>
        <w:sz w:val="32"/>
        <w:szCs w:val="24"/>
        <w:lang w:eastAsia="zh-CN"/>
      </w:rPr>
      <w:pict>
        <v:rect id="文本框 2" o:spid="_x0000_s1025" style="position:absolute;left:0;margin-left:456.9pt;margin-top:765.9pt;height:16.05pt;width:43.9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Lines="0" w:afterLines="0" w:line="321" w:lineRule="exact"/>
                  <w:ind w:left="20"/>
                  <w:rPr>
                    <w:rFonts w:hint="eastAsia" w:ascii="宋体"/>
                    <w:sz w:val="28"/>
                    <w:szCs w:val="24"/>
                  </w:rPr>
                </w:pPr>
                <w:r>
                  <w:rPr>
                    <w:rFonts w:hint="eastAsia" w:ascii="宋体"/>
                    <w:sz w:val="28"/>
                    <w:szCs w:val="24"/>
                  </w:rPr>
                  <w:t xml:space="preserve">- </w:t>
                </w:r>
                <w:r>
                  <w:rPr>
                    <w:rFonts w:hint="eastAsia" w:ascii="宋体"/>
                    <w:sz w:val="28"/>
                    <w:szCs w:val="24"/>
                  </w:rPr>
                  <w:fldChar w:fldCharType="begin"/>
                </w:r>
                <w:r>
                  <w:rPr>
                    <w:rFonts w:hint="eastAsia" w:ascii="宋体"/>
                    <w:sz w:val="28"/>
                    <w:szCs w:val="24"/>
                  </w:rPr>
                  <w:instrText xml:space="preserve"> PAGE </w:instrText>
                </w:r>
                <w:r>
                  <w:rPr>
                    <w:rFonts w:hint="eastAsia" w:ascii="宋体"/>
                    <w:sz w:val="28"/>
                    <w:szCs w:val="24"/>
                  </w:rPr>
                  <w:fldChar w:fldCharType="separate"/>
                </w:r>
                <w:r>
                  <w:rPr>
                    <w:rFonts w:hint="eastAsia" w:ascii="宋体"/>
                    <w:sz w:val="28"/>
                    <w:szCs w:val="24"/>
                  </w:rPr>
                  <w:t>12</w:t>
                </w:r>
                <w:r>
                  <w:rPr>
                    <w:rFonts w:hint="eastAsia" w:ascii="宋体"/>
                    <w:sz w:val="28"/>
                    <w:szCs w:val="24"/>
                  </w:rPr>
                  <w:fldChar w:fldCharType="end"/>
                </w:r>
                <w:r>
                  <w:rPr>
                    <w:rFonts w:hint="eastAsia" w:ascii="宋体"/>
                    <w:sz w:val="28"/>
                    <w:szCs w:val="24"/>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46859708">
    <w:nsid w:val="D95EA9BC"/>
    <w:multiLevelType w:val="singleLevel"/>
    <w:tmpl w:val="D95EA9BC"/>
    <w:lvl w:ilvl="0" w:tentative="1">
      <w:start w:val="3"/>
      <w:numFmt w:val="chineseCounting"/>
      <w:suff w:val="nothing"/>
      <w:lvlText w:val="（%1）"/>
      <w:lvlJc w:val="left"/>
      <w:rPr>
        <w:rFonts w:hint="eastAsia"/>
      </w:rPr>
    </w:lvl>
  </w:abstractNum>
  <w:num w:numId="1">
    <w:abstractNumId w:val="36468597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Q4ZjM1ZGY3OTg4NjMyZDJmYTU2NzljZWY5NDYxMzAifQ=="/>
  </w:docVars>
  <w:rsids>
    <w:rsidRoot w:val="00000000"/>
    <w:rsid w:val="01B01BF0"/>
    <w:rsid w:val="02A76009"/>
    <w:rsid w:val="031A4A4E"/>
    <w:rsid w:val="03FD2B28"/>
    <w:rsid w:val="047D5273"/>
    <w:rsid w:val="068604E5"/>
    <w:rsid w:val="06E67100"/>
    <w:rsid w:val="078E1545"/>
    <w:rsid w:val="0CF2087E"/>
    <w:rsid w:val="0F672631"/>
    <w:rsid w:val="0F952D6B"/>
    <w:rsid w:val="121548EA"/>
    <w:rsid w:val="16D76A65"/>
    <w:rsid w:val="17B668A4"/>
    <w:rsid w:val="18B13D26"/>
    <w:rsid w:val="19237632"/>
    <w:rsid w:val="1B961DA9"/>
    <w:rsid w:val="1CF0262F"/>
    <w:rsid w:val="25C34C54"/>
    <w:rsid w:val="27053614"/>
    <w:rsid w:val="27BE3B1B"/>
    <w:rsid w:val="28DC615D"/>
    <w:rsid w:val="28E55011"/>
    <w:rsid w:val="29EC23D0"/>
    <w:rsid w:val="2A4268AB"/>
    <w:rsid w:val="2BFB7D71"/>
    <w:rsid w:val="33074740"/>
    <w:rsid w:val="371F3DE4"/>
    <w:rsid w:val="375F2433"/>
    <w:rsid w:val="37712166"/>
    <w:rsid w:val="384B7018"/>
    <w:rsid w:val="3986014B"/>
    <w:rsid w:val="3AEF6A0D"/>
    <w:rsid w:val="3C7E0800"/>
    <w:rsid w:val="3CFC0724"/>
    <w:rsid w:val="3E3D2DA2"/>
    <w:rsid w:val="41F9028E"/>
    <w:rsid w:val="421502BE"/>
    <w:rsid w:val="421B1066"/>
    <w:rsid w:val="458A4B1F"/>
    <w:rsid w:val="468D122A"/>
    <w:rsid w:val="48403BBB"/>
    <w:rsid w:val="4AF521CA"/>
    <w:rsid w:val="4B0D06CC"/>
    <w:rsid w:val="4E55558A"/>
    <w:rsid w:val="4E7C7675"/>
    <w:rsid w:val="53AA2830"/>
    <w:rsid w:val="55735D8A"/>
    <w:rsid w:val="57B020F8"/>
    <w:rsid w:val="58533496"/>
    <w:rsid w:val="58A261CC"/>
    <w:rsid w:val="58C229CF"/>
    <w:rsid w:val="59F6057D"/>
    <w:rsid w:val="600D21A5"/>
    <w:rsid w:val="606E5E0A"/>
    <w:rsid w:val="615804AD"/>
    <w:rsid w:val="63140E26"/>
    <w:rsid w:val="63ED36D1"/>
    <w:rsid w:val="64EA33D4"/>
    <w:rsid w:val="65030DDA"/>
    <w:rsid w:val="670C7632"/>
    <w:rsid w:val="6748228D"/>
    <w:rsid w:val="6A5B2C58"/>
    <w:rsid w:val="6A667059"/>
    <w:rsid w:val="6F1A6664"/>
    <w:rsid w:val="7277099F"/>
    <w:rsid w:val="728F751C"/>
    <w:rsid w:val="74A05010"/>
    <w:rsid w:val="765A1E12"/>
    <w:rsid w:val="77BF249E"/>
    <w:rsid w:val="77FA5285"/>
    <w:rsid w:val="78AB4063"/>
    <w:rsid w:val="7AC202DC"/>
    <w:rsid w:val="7AD26045"/>
    <w:rsid w:val="7D55637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default" w:ascii="Times New Roman" w:hAnsi="Times New Roman" w:eastAsia="宋体" w:cs="Times New Roman"/>
      <w:kern w:val="2"/>
      <w:sz w:val="21"/>
      <w:szCs w:val="24"/>
    </w:rPr>
  </w:style>
  <w:style w:type="paragraph" w:styleId="3">
    <w:name w:val="heading 1"/>
    <w:basedOn w:val="1"/>
    <w:next w:val="1"/>
    <w:unhideWhenUsed/>
    <w:qFormat/>
    <w:uiPriority w:val="9"/>
    <w:pPr>
      <w:spacing w:beforeLines="0" w:afterLines="0"/>
      <w:ind w:left="143" w:right="898" w:hanging="2475"/>
      <w:outlineLvl w:val="0"/>
    </w:pPr>
    <w:rPr>
      <w:rFonts w:hint="eastAsia" w:ascii="方正小标宋简体" w:hAnsi="方正小标宋简体" w:eastAsia="方正小标宋简体" w:cs="方正小标宋简体"/>
      <w:sz w:val="44"/>
      <w:szCs w:val="44"/>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rPr>
  </w:style>
  <w:style w:type="paragraph" w:styleId="4">
    <w:name w:val="Body Text"/>
    <w:basedOn w:val="1"/>
    <w:unhideWhenUsed/>
    <w:qFormat/>
    <w:uiPriority w:val="1"/>
    <w:pPr>
      <w:spacing w:beforeLines="0" w:afterLines="0"/>
    </w:pPr>
    <w:rPr>
      <w:rFonts w:hint="default"/>
      <w:sz w:val="32"/>
      <w:szCs w:val="24"/>
    </w:rPr>
  </w:style>
  <w:style w:type="paragraph" w:customStyle="1" w:styleId="7">
    <w:name w:val="Table Paragraph"/>
    <w:basedOn w:val="1"/>
    <w:unhideWhenUsed/>
    <w:qFormat/>
    <w:uiPriority w:val="1"/>
    <w:pPr>
      <w:spacing w:beforeLines="0" w:afterLines="0"/>
    </w:pPr>
    <w:rPr>
      <w:rFonts w:hint="default"/>
      <w:sz w:val="21"/>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6485</Words>
  <Characters>6988</Characters>
  <Lines>0</Lines>
  <Paragraphs>0</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2022-09-01T02:20:00Z</dcterms:created>
  <dc:creator>001</dc:creator>
  <cp:lastModifiedBy>陈明</cp:lastModifiedBy>
  <cp:lastPrinted>2022-09-13T06:19:00Z</cp:lastPrinted>
  <dcterms:modified xsi:type="dcterms:W3CDTF">2023-05-17T06:47:58Z</dcterms:modified>
  <dc:title>                                                     DG-HG-001-2023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9D141648CC654E99AE2C7334087706F9_13</vt:lpwstr>
  </property>
</Properties>
</file>