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80"/>
        </w:tabs>
        <w:spacing w:line="360" w:lineRule="auto"/>
        <w:jc w:val="right"/>
        <w:rPr>
          <w:rFonts w:hint="eastAsia" w:ascii="宋体" w:hAnsi="宋体" w:eastAsia="宋体" w:cs="宋体"/>
          <w:sz w:val="21"/>
          <w:szCs w:val="21"/>
          <w:lang w:val="en-US" w:eastAsia="zh-CN"/>
        </w:rPr>
      </w:pPr>
      <w:r>
        <w:rPr>
          <w:rFonts w:ascii="宋体" w:hAnsi="宋体" w:cs="宋体"/>
          <w:sz w:val="21"/>
          <w:szCs w:val="21"/>
        </w:rPr>
        <w:t>DG-J-0</w:t>
      </w:r>
      <w:r>
        <w:rPr>
          <w:rFonts w:hint="eastAsia" w:ascii="宋体" w:hAnsi="宋体" w:cs="宋体"/>
          <w:sz w:val="21"/>
          <w:szCs w:val="21"/>
          <w:lang w:val="en-US" w:eastAsia="zh-CN"/>
        </w:rPr>
        <w:t>848</w:t>
      </w:r>
      <w:r>
        <w:rPr>
          <w:rFonts w:ascii="宋体" w:hAnsi="宋体" w:cs="宋体"/>
          <w:sz w:val="21"/>
          <w:szCs w:val="21"/>
        </w:rPr>
        <w:t>-3-202</w:t>
      </w:r>
      <w:r>
        <w:rPr>
          <w:rFonts w:hint="eastAsia" w:ascii="宋体" w:hAnsi="宋体" w:cs="宋体"/>
          <w:sz w:val="21"/>
          <w:szCs w:val="21"/>
          <w:lang w:val="en-US" w:eastAsia="zh-CN"/>
        </w:rPr>
        <w:t>3</w:t>
      </w:r>
    </w:p>
    <w:p>
      <w:pPr>
        <w:tabs>
          <w:tab w:val="left" w:pos="1080"/>
        </w:tabs>
        <w:spacing w:line="360" w:lineRule="auto"/>
        <w:jc w:val="center"/>
        <w:rPr>
          <w:rFonts w:ascii="仿宋" w:hAnsi="仿宋" w:eastAsia="仿宋" w:cs="仿宋"/>
          <w:sz w:val="21"/>
          <w:szCs w:val="21"/>
        </w:rPr>
      </w:pPr>
      <w:r>
        <w:rPr>
          <w:rFonts w:hint="eastAsia" w:ascii="仿宋" w:hAnsi="仿宋" w:eastAsia="仿宋" w:cs="仿宋"/>
          <w:sz w:val="21"/>
          <w:szCs w:val="21"/>
        </w:rPr>
        <w:t>202</w:t>
      </w:r>
      <w:r>
        <w:rPr>
          <w:rFonts w:hint="eastAsia" w:ascii="仿宋" w:hAnsi="仿宋" w:eastAsia="仿宋" w:cs="仿宋"/>
          <w:sz w:val="21"/>
          <w:szCs w:val="21"/>
          <w:lang w:val="en-US" w:eastAsia="zh-CN"/>
        </w:rPr>
        <w:t>3</w:t>
      </w:r>
      <w:r>
        <w:rPr>
          <w:rFonts w:hint="eastAsia" w:ascii="仿宋" w:hAnsi="仿宋" w:eastAsia="仿宋" w:cs="仿宋"/>
          <w:sz w:val="21"/>
          <w:szCs w:val="21"/>
        </w:rPr>
        <w:t>年东莞市软体家具产品质量监督抽查实施细则</w:t>
      </w:r>
    </w:p>
    <w:p>
      <w:pPr>
        <w:spacing w:line="360" w:lineRule="auto"/>
        <w:ind w:firstLine="420" w:firstLineChars="200"/>
        <w:outlineLvl w:val="0"/>
        <w:rPr>
          <w:rFonts w:ascii="仿宋" w:hAnsi="仿宋" w:eastAsia="仿宋" w:cs="仿宋"/>
          <w:sz w:val="21"/>
          <w:szCs w:val="21"/>
        </w:rPr>
      </w:pP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本细则适用于东莞市市场监督管理局组织的软体家具产品质量监督抽查的抽样、检验工作。</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w:t>
      </w:r>
      <w:r>
        <w:rPr>
          <w:rFonts w:ascii="仿宋" w:hAnsi="仿宋" w:eastAsia="仿宋" w:cs="仿宋"/>
          <w:sz w:val="21"/>
          <w:szCs w:val="21"/>
        </w:rPr>
        <w:t>1</w:t>
      </w:r>
      <w:r>
        <w:rPr>
          <w:rFonts w:hint="eastAsia" w:ascii="仿宋" w:hAnsi="仿宋" w:eastAsia="仿宋" w:cs="仿宋"/>
          <w:sz w:val="21"/>
          <w:szCs w:val="21"/>
        </w:rPr>
        <w:t>）抽查范围</w:t>
      </w:r>
    </w:p>
    <w:p>
      <w:pPr>
        <w:spacing w:line="360" w:lineRule="auto"/>
        <w:outlineLvl w:val="0"/>
        <w:rPr>
          <w:rFonts w:ascii="仿宋" w:hAnsi="仿宋" w:eastAsia="仿宋" w:cs="仿宋"/>
          <w:color w:val="000000"/>
          <w:sz w:val="21"/>
          <w:szCs w:val="21"/>
        </w:rPr>
      </w:pPr>
      <w:r>
        <w:rPr>
          <w:rFonts w:hint="eastAsia" w:ascii="仿宋" w:hAnsi="仿宋" w:eastAsia="仿宋" w:cs="仿宋"/>
          <w:sz w:val="21"/>
          <w:szCs w:val="21"/>
        </w:rPr>
        <w:t xml:space="preserve">    抽查产品名称（种类）：</w:t>
      </w:r>
      <w:r>
        <w:rPr>
          <w:rFonts w:hint="eastAsia" w:ascii="仿宋" w:hAnsi="仿宋" w:eastAsia="仿宋" w:cs="仿宋"/>
          <w:color w:val="000000"/>
          <w:sz w:val="21"/>
          <w:szCs w:val="21"/>
        </w:rPr>
        <w:t>软体家具（主要包括弹簧软床垫、棕纤维弹性床垫、沙发、软体床、</w:t>
      </w:r>
      <w:r>
        <w:rPr>
          <w:rFonts w:hint="eastAsia" w:ascii="仿宋" w:hAnsi="仿宋" w:eastAsia="仿宋" w:cs="仿宋"/>
          <w:sz w:val="21"/>
          <w:szCs w:val="21"/>
        </w:rPr>
        <w:t>软体办公椅</w:t>
      </w:r>
      <w:r>
        <w:rPr>
          <w:rFonts w:hint="eastAsia" w:ascii="仿宋" w:hAnsi="仿宋" w:eastAsia="仿宋" w:cs="仿宋"/>
          <w:color w:val="000000"/>
          <w:sz w:val="21"/>
          <w:szCs w:val="21"/>
        </w:rPr>
        <w:t>等产品）</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监督总体：与抽取的样品相同的生产者，按照同一标准生产的同一商标、同一型号（或者规格）的东莞市生产、流通、经营性服务领域的产品集合。</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（2）抽样、检验程序</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《产品质量监督抽查管理暂行办法》（国家市场监督管理总局令第</w:t>
      </w:r>
      <w:r>
        <w:rPr>
          <w:rFonts w:ascii="仿宋" w:hAnsi="仿宋" w:eastAsia="仿宋" w:cs="仿宋"/>
          <w:sz w:val="21"/>
          <w:szCs w:val="21"/>
        </w:rPr>
        <w:t>18</w:t>
      </w:r>
      <w:r>
        <w:rPr>
          <w:rFonts w:hint="eastAsia" w:ascii="仿宋" w:hAnsi="仿宋" w:eastAsia="仿宋" w:cs="仿宋"/>
          <w:sz w:val="21"/>
          <w:szCs w:val="21"/>
        </w:rPr>
        <w:t>号）；</w:t>
      </w:r>
    </w:p>
    <w:p>
      <w:pPr>
        <w:spacing w:line="360" w:lineRule="auto"/>
        <w:ind w:firstLine="420" w:firstLineChars="200"/>
        <w:rPr>
          <w:rFonts w:ascii="仿宋" w:hAnsi="仿宋" w:eastAsia="仿宋" w:cs="仿宋"/>
          <w:sz w:val="21"/>
          <w:szCs w:val="21"/>
        </w:rPr>
      </w:pPr>
      <w:r>
        <w:rPr>
          <w:rFonts w:ascii="仿宋" w:hAnsi="仿宋" w:eastAsia="仿宋" w:cs="仿宋"/>
          <w:sz w:val="21"/>
          <w:szCs w:val="21"/>
        </w:rPr>
        <w:t>T/GDAQI 020-2022</w:t>
      </w:r>
      <w:r>
        <w:rPr>
          <w:rFonts w:hint="eastAsia" w:ascii="仿宋" w:hAnsi="仿宋" w:eastAsia="仿宋" w:cs="仿宋"/>
          <w:sz w:val="21"/>
          <w:szCs w:val="21"/>
        </w:rPr>
        <w:t>《产品质量监督抽查抽样检验技术服务规范》；</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承检机构在抽样检验程序中根据实际情况及检验程序的法定性与有效性予以补充。</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（3）抽样方法及数量</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a. 抽样地点: 在企业成品仓库内或者市场上，随机抽取近期生产的同一批次，并有产品质量检验合格证明或者其他形式表明合格的产品。</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b. 抽样方法：</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抽样应符合《东莞市市场监督管理局产品质量监督抽查管理工作指引》（东市监质监〔2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〕9号）第三章中的相关要求。</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c. 样品数量和要求</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抽样数量：每款产品抽取</w:t>
      </w:r>
      <w:r>
        <w:rPr>
          <w:rFonts w:ascii="仿宋" w:hAnsi="仿宋" w:eastAsia="仿宋" w:cs="仿宋"/>
          <w:sz w:val="21"/>
          <w:szCs w:val="21"/>
        </w:rPr>
        <w:t>2</w:t>
      </w:r>
      <w:r>
        <w:rPr>
          <w:rFonts w:hint="eastAsia" w:ascii="仿宋" w:hAnsi="仿宋" w:eastAsia="仿宋" w:cs="仿宋"/>
          <w:sz w:val="21"/>
          <w:szCs w:val="21"/>
        </w:rPr>
        <w:t>组样品，第1组用于检验，第2组用于备样。每组样品需抽取的样品数量如下表所示：</w:t>
      </w:r>
    </w:p>
    <w:tbl>
      <w:tblPr>
        <w:tblStyle w:val="11"/>
        <w:tblW w:w="79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2322"/>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序号</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产品名称</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第1组数量</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1</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color w:val="000000"/>
                <w:sz w:val="21"/>
                <w:szCs w:val="21"/>
              </w:rPr>
              <w:t>软体家具（主要包括弹簧软床垫、棕纤维弹性床垫、沙发、软体床、</w:t>
            </w:r>
            <w:r>
              <w:rPr>
                <w:rFonts w:hint="eastAsia" w:ascii="仿宋" w:hAnsi="仿宋" w:eastAsia="仿宋" w:cs="仿宋"/>
                <w:sz w:val="21"/>
                <w:szCs w:val="21"/>
              </w:rPr>
              <w:t>软体办公椅</w:t>
            </w:r>
            <w:r>
              <w:rPr>
                <w:rFonts w:hint="eastAsia" w:ascii="仿宋" w:hAnsi="仿宋" w:eastAsia="仿宋" w:cs="仿宋"/>
                <w:color w:val="000000"/>
                <w:sz w:val="21"/>
                <w:szCs w:val="21"/>
              </w:rPr>
              <w:t>等产品）</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1件</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1件</w:t>
            </w:r>
          </w:p>
        </w:tc>
      </w:tr>
    </w:tbl>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检验样品由抽样人员以生产、销售产品的标价或出厂价购买，不会对样品质量造成实质性影响的样品除外。生产、流通领域（不含网络抽样）的备用样品由被抽查市场主体先行无偿提供，网络抽样的备用样品按零售价购买,并封存在抽查单位。</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d.封样要求</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被抽查产品的样品应有密封和防拆封措施，以保证其完整性、真实性，包括附在样品上的使用说明及其他信息；检验样品和备用样品必须分别封存。</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e.其他说明</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无。</w:t>
      </w:r>
    </w:p>
    <w:p>
      <w:pPr>
        <w:numPr>
          <w:ilvl w:val="0"/>
          <w:numId w:val="1"/>
        </w:numPr>
        <w:spacing w:before="240" w:beforeLines="100" w:line="360" w:lineRule="auto"/>
        <w:ind w:firstLine="420" w:firstLineChars="200"/>
        <w:outlineLvl w:val="0"/>
        <w:rPr>
          <w:rFonts w:ascii="仿宋" w:hAnsi="仿宋" w:eastAsia="仿宋" w:cs="仿宋"/>
          <w:color w:val="000000"/>
          <w:sz w:val="21"/>
          <w:szCs w:val="21"/>
        </w:rPr>
      </w:pPr>
      <w:r>
        <w:rPr>
          <w:rFonts w:hint="eastAsia" w:ascii="仿宋" w:hAnsi="仿宋" w:eastAsia="仿宋" w:cs="仿宋"/>
          <w:color w:val="000000"/>
          <w:sz w:val="21"/>
          <w:szCs w:val="21"/>
        </w:rPr>
        <w:t>检验依据</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 xml:space="preserve"> 1、QB/T 1952.2-2011《软体家具 弹簧软床垫》</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（现行推荐性行业标准，2011年12月20日发布，2012年04月01日实施）</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 xml:space="preserve"> 2、GB/T 26706-2011《软体家具 棕纤维弹性床垫》</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（现行推荐性国家标准，2011年06月16日发布，2011年12月01日实施）；</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 xml:space="preserve"> 3、QB/T 1952.1-2012《软体家具 沙发》</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（现行推荐性行业标准，2012年11月07日发布，2013年03月01日实施）；</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 xml:space="preserve"> 4、QB/T 4190-2021《软体床》</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（现行推荐性行业标准，2021年12月02日发布，2022年04月01日实施）；</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 xml:space="preserve"> 5、QB/T 2280-2016《办公家具 办公椅》</w:t>
      </w:r>
    </w:p>
    <w:p>
      <w:pPr>
        <w:spacing w:line="360" w:lineRule="auto"/>
        <w:ind w:firstLine="420" w:firstLineChars="200"/>
      </w:pPr>
      <w:r>
        <w:rPr>
          <w:rFonts w:hint="eastAsia" w:ascii="仿宋" w:hAnsi="仿宋" w:eastAsia="仿宋" w:cs="仿宋"/>
          <w:color w:val="000000"/>
          <w:sz w:val="21"/>
          <w:szCs w:val="21"/>
        </w:rPr>
        <w:t xml:space="preserve"> （现行推荐性行业标准，2016年01月15日发布，2016年07月01日实施）。</w:t>
      </w:r>
    </w:p>
    <w:p>
      <w:pPr>
        <w:numPr>
          <w:ilvl w:val="0"/>
          <w:numId w:val="2"/>
        </w:numPr>
        <w:spacing w:line="360" w:lineRule="auto"/>
        <w:ind w:firstLine="420" w:firstLineChars="200"/>
        <w:outlineLvl w:val="0"/>
        <w:rPr>
          <w:rFonts w:ascii="仿宋" w:hAnsi="仿宋" w:eastAsia="仿宋" w:cs="仿宋"/>
          <w:color w:val="000000"/>
          <w:sz w:val="21"/>
          <w:szCs w:val="21"/>
        </w:rPr>
      </w:pPr>
      <w:r>
        <w:rPr>
          <w:rFonts w:hint="eastAsia" w:ascii="仿宋" w:hAnsi="仿宋" w:eastAsia="仿宋" w:cs="仿宋"/>
          <w:color w:val="000000"/>
          <w:sz w:val="21"/>
          <w:szCs w:val="21"/>
        </w:rPr>
        <w:t>检验项目</w:t>
      </w:r>
    </w:p>
    <w:p>
      <w:pPr>
        <w:spacing w:line="360" w:lineRule="auto"/>
        <w:ind w:firstLine="420" w:firstLineChars="200"/>
        <w:rPr>
          <w:rFonts w:ascii="仿宋" w:hAnsi="仿宋" w:eastAsia="仿宋" w:cs="仿宋"/>
          <w:color w:val="000000"/>
          <w:sz w:val="21"/>
          <w:szCs w:val="21"/>
        </w:rPr>
      </w:pPr>
      <w:r>
        <w:rPr>
          <w:rFonts w:ascii="仿宋" w:hAnsi="仿宋" w:eastAsia="仿宋" w:cs="仿宋"/>
          <w:color w:val="000000"/>
          <w:sz w:val="21"/>
          <w:szCs w:val="21"/>
        </w:rPr>
        <w:t>1、弹簧软床垫</w:t>
      </w:r>
    </w:p>
    <w:tbl>
      <w:tblPr>
        <w:tblStyle w:val="11"/>
        <w:tblW w:w="9731" w:type="dxa"/>
        <w:jc w:val="center"/>
        <w:tblLayout w:type="fixed"/>
        <w:tblCellMar>
          <w:top w:w="0" w:type="dxa"/>
          <w:left w:w="108" w:type="dxa"/>
          <w:bottom w:w="0" w:type="dxa"/>
          <w:right w:w="108" w:type="dxa"/>
        </w:tblCellMar>
      </w:tblPr>
      <w:tblGrid>
        <w:gridCol w:w="722"/>
        <w:gridCol w:w="692"/>
        <w:gridCol w:w="816"/>
        <w:gridCol w:w="692"/>
        <w:gridCol w:w="2714"/>
        <w:gridCol w:w="805"/>
        <w:gridCol w:w="927"/>
        <w:gridCol w:w="764"/>
        <w:gridCol w:w="791"/>
        <w:gridCol w:w="808"/>
      </w:tblGrid>
      <w:tr>
        <w:tblPrEx>
          <w:tblCellMar>
            <w:top w:w="0" w:type="dxa"/>
            <w:left w:w="108" w:type="dxa"/>
            <w:bottom w:w="0" w:type="dxa"/>
            <w:right w:w="108" w:type="dxa"/>
          </w:tblCellMar>
        </w:tblPrEx>
        <w:trPr>
          <w:trHeight w:val="547" w:hRule="atLeast"/>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序号</w:t>
            </w:r>
          </w:p>
        </w:tc>
        <w:tc>
          <w:tcPr>
            <w:tcW w:w="220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检验项目</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依据标准</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强制性</w:t>
            </w: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非强制性</w:t>
            </w:r>
          </w:p>
        </w:tc>
        <w:tc>
          <w:tcPr>
            <w:tcW w:w="764" w:type="dxa"/>
            <w:tcBorders>
              <w:top w:val="single" w:color="000000" w:sz="4" w:space="0"/>
              <w:left w:val="nil"/>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重要项</w:t>
            </w:r>
          </w:p>
        </w:tc>
        <w:tc>
          <w:tcPr>
            <w:tcW w:w="79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较重要项</w:t>
            </w:r>
          </w:p>
        </w:tc>
        <w:tc>
          <w:tcPr>
            <w:tcW w:w="808"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次要项</w:t>
            </w:r>
          </w:p>
        </w:tc>
      </w:tr>
      <w:tr>
        <w:tblPrEx>
          <w:tblCellMar>
            <w:top w:w="0" w:type="dxa"/>
            <w:left w:w="108" w:type="dxa"/>
            <w:bottom w:w="0" w:type="dxa"/>
            <w:right w:w="108" w:type="dxa"/>
          </w:tblCellMar>
        </w:tblPrEx>
        <w:trPr>
          <w:trHeight w:val="662" w:hRule="atLeast"/>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p>
        </w:tc>
        <w:tc>
          <w:tcPr>
            <w:tcW w:w="220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面料要求</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1952.2-2011表3中序号5</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62" w:hRule="atLeast"/>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2</w:t>
            </w:r>
          </w:p>
        </w:tc>
        <w:tc>
          <w:tcPr>
            <w:tcW w:w="220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铺面、边面缝纫要求</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1952.2-2011表3中序号8</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62" w:hRule="atLeast"/>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3</w:t>
            </w:r>
          </w:p>
        </w:tc>
        <w:tc>
          <w:tcPr>
            <w:tcW w:w="220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缝边要求</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1952.2-2011表3中序号15、16、18</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62" w:hRule="atLeast"/>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4</w:t>
            </w:r>
          </w:p>
        </w:tc>
        <w:tc>
          <w:tcPr>
            <w:tcW w:w="69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面料物理性能</w:t>
            </w: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面料耐干摩擦色牢度</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1952.2-2011表3中序号19</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03" w:hRule="atLeast"/>
          <w:jc w:val="center"/>
        </w:trPr>
        <w:tc>
          <w:tcPr>
            <w:tcW w:w="722"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5</w:t>
            </w:r>
          </w:p>
        </w:tc>
        <w:tc>
          <w:tcPr>
            <w:tcW w:w="692"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铺垫料物理性能</w:t>
            </w:r>
          </w:p>
        </w:tc>
        <w:tc>
          <w:tcPr>
            <w:tcW w:w="816"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软质聚氨酯泡沫塑料</w:t>
            </w:r>
          </w:p>
        </w:tc>
        <w:tc>
          <w:tcPr>
            <w:tcW w:w="69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回弹性</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1952.2-2011表3中序号22</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53"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16"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拉伸强度</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1952.2-2011表3中序号23</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05" w:hRule="atLeast"/>
          <w:jc w:val="center"/>
        </w:trPr>
        <w:tc>
          <w:tcPr>
            <w:tcW w:w="722"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6</w:t>
            </w:r>
          </w:p>
        </w:tc>
        <w:tc>
          <w:tcPr>
            <w:tcW w:w="692"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卫生、安全</w:t>
            </w: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应无异味</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1952.2-2011表3中序号24</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53"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不应有霉变、虫蛀，肉眼观察不应检出蚤、蜱、臭虫等节肢动物和蟑螂卵夹</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1952.2-2011表3中序号25</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091"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不应使用医用废弃物、废旧服装及其他类似的废旧制品</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1952.2-2011表3中序号26</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04"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纤维性工业下脚料或用其加工的再生纤维状物质应经高温成型（热熔）、消毒等工艺处理</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1952.2-2011表3中序号27</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53"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不应夹杂塑料编制材料、植物秸秆或叶、壳、竹丝、刨花、泥砂、石粉、金属丝等杂物</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1952.2-2011表3中序号28</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58"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所有絮用纤维不应漂白</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1952.2-2011表3中序号29</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58"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床垫的甲醛释放量</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w:t>
            </w:r>
            <w:r>
              <w:rPr>
                <w:rFonts w:hint="eastAsia" w:ascii="仿宋" w:hAnsi="仿宋" w:eastAsia="仿宋"/>
                <w:color w:val="000000"/>
                <w:sz w:val="18"/>
              </w:rPr>
              <w:t>31</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53"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家庭用弹簧软床垫阻燃性能</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20" w:lineRule="exact"/>
              <w:jc w:val="center"/>
              <w:rPr>
                <w:rFonts w:ascii="仿宋" w:hAnsi="仿宋" w:eastAsia="仿宋"/>
                <w:color w:val="000000"/>
                <w:sz w:val="18"/>
              </w:rPr>
            </w:pPr>
            <w:r>
              <w:rPr>
                <w:rFonts w:ascii="仿宋" w:hAnsi="仿宋" w:eastAsia="仿宋"/>
                <w:color w:val="000000"/>
                <w:sz w:val="18"/>
              </w:rPr>
              <w:t>QB/T 1952.2-2011表3中序号32</w:t>
            </w:r>
          </w:p>
          <w:p>
            <w:pPr>
              <w:spacing w:line="220" w:lineRule="exact"/>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 xml:space="preserve"> GB 17927.1</w:t>
            </w:r>
            <w:r>
              <w:rPr>
                <w:rFonts w:hint="eastAsia" w:ascii="仿宋" w:hAnsi="仿宋" w:eastAsia="仿宋"/>
                <w:color w:val="000000"/>
                <w:sz w:val="18"/>
              </w:rPr>
              <w:t>-2011）</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64"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弹簧钢丝不应刺出垫面</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1952.2-2011表3中序号33</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13" w:hRule="atLeast"/>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7</w:t>
            </w:r>
          </w:p>
        </w:tc>
        <w:tc>
          <w:tcPr>
            <w:tcW w:w="220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弹簧</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1952.2-2011表3中序号3</w:t>
            </w:r>
            <w:r>
              <w:rPr>
                <w:rFonts w:hint="eastAsia" w:ascii="仿宋" w:hAnsi="仿宋" w:eastAsia="仿宋"/>
                <w:color w:val="000000"/>
                <w:sz w:val="18"/>
              </w:rPr>
              <w:t>6</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87" w:hRule="atLeast"/>
          <w:jc w:val="center"/>
        </w:trPr>
        <w:tc>
          <w:tcPr>
            <w:tcW w:w="722"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8</w:t>
            </w:r>
          </w:p>
        </w:tc>
        <w:tc>
          <w:tcPr>
            <w:tcW w:w="692"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耐久性</w:t>
            </w: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睡眠区域中心</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1952.2-2011表3中序号38</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12"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边部</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1952.2-2011表3中序号38</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bl>
    <w:p>
      <w:pPr>
        <w:spacing w:line="360" w:lineRule="auto"/>
        <w:rPr>
          <w:rFonts w:ascii="仿宋" w:hAnsi="仿宋" w:eastAsia="仿宋" w:cs="仿宋"/>
          <w:color w:val="000000"/>
          <w:sz w:val="21"/>
          <w:szCs w:val="21"/>
        </w:rPr>
      </w:pPr>
    </w:p>
    <w:p>
      <w:pPr>
        <w:spacing w:line="360" w:lineRule="auto"/>
        <w:rPr>
          <w:rFonts w:ascii="仿宋" w:hAnsi="仿宋" w:eastAsia="仿宋" w:cs="仿宋"/>
          <w:color w:val="000000"/>
          <w:sz w:val="21"/>
          <w:szCs w:val="21"/>
        </w:rPr>
      </w:pPr>
      <w:r>
        <w:rPr>
          <w:rFonts w:ascii="仿宋" w:hAnsi="仿宋" w:eastAsia="仿宋" w:cs="仿宋"/>
          <w:color w:val="000000"/>
          <w:sz w:val="21"/>
          <w:szCs w:val="21"/>
        </w:rPr>
        <w:t>2、棕纤维弹性床垫</w:t>
      </w:r>
    </w:p>
    <w:tbl>
      <w:tblPr>
        <w:tblStyle w:val="11"/>
        <w:tblW w:w="9540" w:type="dxa"/>
        <w:jc w:val="center"/>
        <w:tblLayout w:type="fixed"/>
        <w:tblCellMar>
          <w:top w:w="0" w:type="dxa"/>
          <w:left w:w="108" w:type="dxa"/>
          <w:bottom w:w="0" w:type="dxa"/>
          <w:right w:w="108" w:type="dxa"/>
        </w:tblCellMar>
      </w:tblPr>
      <w:tblGrid>
        <w:gridCol w:w="650"/>
        <w:gridCol w:w="773"/>
        <w:gridCol w:w="1773"/>
        <w:gridCol w:w="2236"/>
        <w:gridCol w:w="845"/>
        <w:gridCol w:w="887"/>
        <w:gridCol w:w="818"/>
        <w:gridCol w:w="758"/>
        <w:gridCol w:w="800"/>
      </w:tblGrid>
      <w:tr>
        <w:tblPrEx>
          <w:tblCellMar>
            <w:top w:w="0" w:type="dxa"/>
            <w:left w:w="108" w:type="dxa"/>
            <w:bottom w:w="0" w:type="dxa"/>
            <w:right w:w="108" w:type="dxa"/>
          </w:tblCellMar>
        </w:tblPrEx>
        <w:trPr>
          <w:trHeight w:val="500" w:hRule="atLeast"/>
          <w:tblHeader/>
          <w:jc w:val="center"/>
        </w:trPr>
        <w:tc>
          <w:tcPr>
            <w:tcW w:w="6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序号</w:t>
            </w:r>
          </w:p>
        </w:tc>
        <w:tc>
          <w:tcPr>
            <w:tcW w:w="254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检验项目</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依据标准</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强制性</w:t>
            </w: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非强制性</w:t>
            </w:r>
          </w:p>
        </w:tc>
        <w:tc>
          <w:tcPr>
            <w:tcW w:w="818" w:type="dxa"/>
            <w:tcBorders>
              <w:top w:val="single" w:color="000000" w:sz="4" w:space="0"/>
              <w:left w:val="nil"/>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重要项</w:t>
            </w:r>
          </w:p>
        </w:tc>
        <w:tc>
          <w:tcPr>
            <w:tcW w:w="758"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较重要项</w:t>
            </w:r>
          </w:p>
        </w:tc>
        <w:tc>
          <w:tcPr>
            <w:tcW w:w="800"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次要项</w:t>
            </w:r>
          </w:p>
        </w:tc>
      </w:tr>
      <w:tr>
        <w:tblPrEx>
          <w:tblCellMar>
            <w:top w:w="0" w:type="dxa"/>
            <w:left w:w="108" w:type="dxa"/>
            <w:bottom w:w="0" w:type="dxa"/>
            <w:right w:w="108" w:type="dxa"/>
          </w:tblCellMar>
        </w:tblPrEx>
        <w:trPr>
          <w:trHeight w:val="749" w:hRule="atLeast"/>
          <w:tblHeader/>
          <w:jc w:val="center"/>
        </w:trPr>
        <w:tc>
          <w:tcPr>
            <w:tcW w:w="6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p>
        </w:tc>
        <w:tc>
          <w:tcPr>
            <w:tcW w:w="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面料及复合面料物理性能</w:t>
            </w: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耐摩擦色牢度</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26706-2011表3中序号23</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01" w:hRule="atLeast"/>
          <w:tblHeader/>
          <w:jc w:val="center"/>
        </w:trPr>
        <w:tc>
          <w:tcPr>
            <w:tcW w:w="650"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2</w:t>
            </w:r>
          </w:p>
        </w:tc>
        <w:tc>
          <w:tcPr>
            <w:tcW w:w="773"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 xml:space="preserve"> 芯料物理性能</w:t>
            </w: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含水率</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26706-2011表3中序号29</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65" w:hRule="atLeast"/>
          <w:tblHeader/>
          <w:jc w:val="center"/>
        </w:trPr>
        <w:tc>
          <w:tcPr>
            <w:tcW w:w="650"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压缩永久变形率</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26706-2011表3中序号30</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21" w:hRule="atLeast"/>
          <w:tblHeader/>
          <w:jc w:val="center"/>
        </w:trPr>
        <w:tc>
          <w:tcPr>
            <w:tcW w:w="650" w:type="dxa"/>
            <w:vMerge w:val="restart"/>
            <w:tcBorders>
              <w:top w:val="nil"/>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3</w:t>
            </w:r>
          </w:p>
        </w:tc>
        <w:tc>
          <w:tcPr>
            <w:tcW w:w="773" w:type="dxa"/>
            <w:vMerge w:val="restart"/>
            <w:tcBorders>
              <w:top w:val="nil"/>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 xml:space="preserve"> 安全卫生要求</w:t>
            </w: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不应检出蚤、蜱、臭虫等虫类及虫卵，不应检出蟑螂卵夹，不应有虫蛀现象</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26706-2011表3中序号31</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29" w:hRule="atLeast"/>
          <w:tblHeader/>
          <w:jc w:val="center"/>
        </w:trPr>
        <w:tc>
          <w:tcPr>
            <w:tcW w:w="650"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芯料不应使用废旧材料，不应夹杂塑料编织材料、秸秆、刨花、纸屑、泥砂或金属等杂物</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26706-2011表3中序号33</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04" w:hRule="atLeast"/>
          <w:tblHeader/>
          <w:jc w:val="center"/>
        </w:trPr>
        <w:tc>
          <w:tcPr>
            <w:tcW w:w="650"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芯料无腐朽、霉变或霉烂现象</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26706-2011表3中序号34</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10" w:hRule="atLeast"/>
          <w:tblHeader/>
          <w:jc w:val="center"/>
        </w:trPr>
        <w:tc>
          <w:tcPr>
            <w:tcW w:w="650"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所用絮用纤维不应漂白</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26706-2011表3中序号35</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nil"/>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680" w:hRule="atLeast"/>
          <w:tblHeader/>
          <w:jc w:val="center"/>
        </w:trPr>
        <w:tc>
          <w:tcPr>
            <w:tcW w:w="650"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面料及复合面料等材料不应使用医用纤维性废弃物、废旧纤维制品及其他类似受污染的材料</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26706-2011表3中序号36</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auto"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2" w:hRule="atLeast"/>
          <w:tblHeader/>
          <w:jc w:val="center"/>
        </w:trPr>
        <w:tc>
          <w:tcPr>
            <w:tcW w:w="650"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面料及复合面料等材料不应发霉变质</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26706-2011表3中序号37</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2" w:hRule="atLeast"/>
          <w:tblHeader/>
          <w:jc w:val="center"/>
        </w:trPr>
        <w:tc>
          <w:tcPr>
            <w:tcW w:w="650"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3" w:type="dxa"/>
            <w:vMerge w:val="continue"/>
            <w:tcBorders>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床垫有害物质限量</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w:t>
            </w:r>
            <w:r>
              <w:rPr>
                <w:rFonts w:hint="eastAsia" w:ascii="仿宋" w:hAnsi="仿宋" w:eastAsia="仿宋"/>
                <w:color w:val="000000"/>
                <w:sz w:val="18"/>
              </w:rPr>
              <w:t>8</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805" w:hRule="atLeast"/>
          <w:tblHeader/>
          <w:jc w:val="center"/>
        </w:trPr>
        <w:tc>
          <w:tcPr>
            <w:tcW w:w="6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4</w:t>
            </w:r>
          </w:p>
        </w:tc>
        <w:tc>
          <w:tcPr>
            <w:tcW w:w="254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阻燃性要求</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26706-2011表3中序号39</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805" w:hRule="atLeast"/>
          <w:tblHeader/>
          <w:jc w:val="center"/>
        </w:trPr>
        <w:tc>
          <w:tcPr>
            <w:tcW w:w="6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5</w:t>
            </w:r>
          </w:p>
        </w:tc>
        <w:tc>
          <w:tcPr>
            <w:tcW w:w="254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耐久性要求</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w:t>
            </w:r>
            <w:r>
              <w:rPr>
                <w:rFonts w:hint="eastAsia" w:ascii="仿宋" w:hAnsi="仿宋" w:eastAsia="仿宋"/>
                <w:color w:val="000000"/>
                <w:sz w:val="18"/>
              </w:rPr>
              <w:t>40、41</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bl>
    <w:p>
      <w:pPr>
        <w:spacing w:line="360" w:lineRule="auto"/>
        <w:rPr>
          <w:rFonts w:ascii="仿宋" w:hAnsi="仿宋" w:eastAsia="仿宋" w:cs="仿宋"/>
          <w:color w:val="000000"/>
          <w:sz w:val="21"/>
          <w:szCs w:val="21"/>
        </w:rPr>
      </w:pPr>
      <w:r>
        <w:rPr>
          <w:rFonts w:ascii="仿宋" w:hAnsi="仿宋" w:eastAsia="仿宋" w:cs="仿宋"/>
          <w:color w:val="000000"/>
          <w:sz w:val="21"/>
          <w:szCs w:val="21"/>
        </w:rPr>
        <w:t>3、沙发</w:t>
      </w:r>
    </w:p>
    <w:tbl>
      <w:tblPr>
        <w:tblStyle w:val="11"/>
        <w:tblW w:w="9539" w:type="dxa"/>
        <w:jc w:val="center"/>
        <w:tblLayout w:type="fixed"/>
        <w:tblCellMar>
          <w:top w:w="0" w:type="dxa"/>
          <w:left w:w="108" w:type="dxa"/>
          <w:bottom w:w="0" w:type="dxa"/>
          <w:right w:w="108" w:type="dxa"/>
        </w:tblCellMar>
      </w:tblPr>
      <w:tblGrid>
        <w:gridCol w:w="706"/>
        <w:gridCol w:w="1639"/>
        <w:gridCol w:w="2770"/>
        <w:gridCol w:w="830"/>
        <w:gridCol w:w="940"/>
        <w:gridCol w:w="930"/>
        <w:gridCol w:w="940"/>
        <w:gridCol w:w="784"/>
      </w:tblGrid>
      <w:tr>
        <w:tblPrEx>
          <w:tblCellMar>
            <w:top w:w="0" w:type="dxa"/>
            <w:left w:w="108" w:type="dxa"/>
            <w:bottom w:w="0" w:type="dxa"/>
            <w:right w:w="108" w:type="dxa"/>
          </w:tblCellMar>
        </w:tblPrEx>
        <w:trPr>
          <w:trHeight w:val="472" w:hRule="atLeast"/>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序号</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检验项目</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依据标准</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强制性</w:t>
            </w: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非强制性</w:t>
            </w:r>
          </w:p>
        </w:tc>
        <w:tc>
          <w:tcPr>
            <w:tcW w:w="930" w:type="dxa"/>
            <w:tcBorders>
              <w:top w:val="single" w:color="000000" w:sz="4" w:space="0"/>
              <w:left w:val="nil"/>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重要项</w:t>
            </w:r>
          </w:p>
        </w:tc>
        <w:tc>
          <w:tcPr>
            <w:tcW w:w="940"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较重要项</w:t>
            </w:r>
          </w:p>
        </w:tc>
        <w:tc>
          <w:tcPr>
            <w:tcW w:w="784"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次要项</w:t>
            </w:r>
          </w:p>
        </w:tc>
      </w:tr>
      <w:tr>
        <w:tblPrEx>
          <w:tblCellMar>
            <w:top w:w="0" w:type="dxa"/>
            <w:left w:w="108" w:type="dxa"/>
            <w:bottom w:w="0" w:type="dxa"/>
            <w:right w:w="108" w:type="dxa"/>
          </w:tblCellMar>
        </w:tblPrEx>
        <w:trPr>
          <w:trHeight w:val="563" w:hRule="atLeast"/>
          <w:jc w:val="center"/>
        </w:trPr>
        <w:tc>
          <w:tcPr>
            <w:tcW w:w="70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p>
        </w:tc>
        <w:tc>
          <w:tcPr>
            <w:tcW w:w="1639"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木制件用料、加工</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表2－序号2</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1"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表2－序号5</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04"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表2－序号6</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2"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表2－序号7</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2</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金属件用料、加工</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表2－序号10</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3</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铺垫料</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表2－序号12</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4</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泡沫塑料/座面表观密度</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表2－序号13</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50" w:hRule="atLeast"/>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5</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泡沫塑料/回弹性能</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表2－序号15</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6</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泡沫塑料/压缩永久变形</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表2－序号16</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7</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防锈处理</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表2－序号17</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8</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摩 擦 声</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表2－序号18</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9</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木制件漆膜涂层</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表4－序号1、2、3、4</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10</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金属件表面涂层或镀层</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表4－序号7、8、9</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r>
              <w:rPr>
                <w:rFonts w:hint="eastAsia" w:ascii="仿宋" w:hAnsi="仿宋" w:eastAsia="仿宋"/>
                <w:color w:val="000000"/>
                <w:sz w:val="18"/>
              </w:rPr>
              <w:t>1</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覆面材料理化性能/面料颜色干摩擦牢度</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5.4.2.1</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r>
              <w:rPr>
                <w:rFonts w:hint="eastAsia" w:ascii="仿宋" w:hAnsi="仿宋" w:eastAsia="仿宋"/>
                <w:color w:val="000000"/>
                <w:sz w:val="18"/>
              </w:rPr>
              <w:t>2</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耐酸汗渍色牢度</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5.4.2.2</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r>
              <w:rPr>
                <w:rFonts w:hint="eastAsia" w:ascii="仿宋" w:hAnsi="仿宋" w:eastAsia="仿宋"/>
                <w:color w:val="000000"/>
                <w:sz w:val="18"/>
              </w:rPr>
              <w:t>3</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耐碱汗渍色牢度</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5.4.2.3</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r>
              <w:rPr>
                <w:rFonts w:hint="eastAsia" w:ascii="仿宋" w:hAnsi="仿宋" w:eastAsia="仿宋"/>
                <w:color w:val="000000"/>
                <w:sz w:val="18"/>
              </w:rPr>
              <w:t>4</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覆面材料理化性能/皮革涂层粘着牢度</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5.4.2.4</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15</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沙发座、背及扶手耐久性</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表</w:t>
            </w:r>
            <w:r>
              <w:rPr>
                <w:rFonts w:hint="eastAsia" w:ascii="仿宋" w:hAnsi="仿宋" w:eastAsia="仿宋"/>
                <w:color w:val="000000"/>
                <w:sz w:val="18"/>
              </w:rPr>
              <w:t>5</w:t>
            </w:r>
            <w:r>
              <w:rPr>
                <w:rFonts w:ascii="仿宋" w:hAnsi="仿宋" w:eastAsia="仿宋"/>
                <w:color w:val="000000"/>
                <w:sz w:val="18"/>
              </w:rPr>
              <w:t>－序号1</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7" w:hRule="atLeast"/>
          <w:jc w:val="center"/>
        </w:trPr>
        <w:tc>
          <w:tcPr>
            <w:tcW w:w="70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16</w:t>
            </w:r>
          </w:p>
        </w:tc>
        <w:tc>
          <w:tcPr>
            <w:tcW w:w="1639"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安全性能</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5.6.1</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7"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5.6.2</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7"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5.6.3</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7"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5.6.4</w:t>
            </w:r>
          </w:p>
          <w:p>
            <w:pPr>
              <w:spacing w:line="220" w:lineRule="exact"/>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 xml:space="preserve"> GB 17927.1</w:t>
            </w:r>
            <w:r>
              <w:rPr>
                <w:rFonts w:hint="eastAsia" w:ascii="仿宋" w:hAnsi="仿宋" w:eastAsia="仿宋"/>
                <w:color w:val="000000"/>
                <w:sz w:val="18"/>
              </w:rPr>
              <w:t>-2011</w:t>
            </w:r>
          </w:p>
          <w:p>
            <w:pPr>
              <w:autoSpaceDN w:val="0"/>
              <w:snapToGrid w:val="0"/>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GB 17927.2</w:t>
            </w:r>
            <w:r>
              <w:rPr>
                <w:rFonts w:hint="eastAsia" w:ascii="仿宋" w:hAnsi="仿宋" w:eastAsia="仿宋"/>
                <w:color w:val="000000"/>
                <w:sz w:val="18"/>
              </w:rPr>
              <w:t>-2011）</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bl>
    <w:p>
      <w:pPr>
        <w:spacing w:line="360" w:lineRule="auto"/>
        <w:rPr>
          <w:rFonts w:ascii="仿宋" w:hAnsi="仿宋" w:eastAsia="仿宋" w:cs="仿宋"/>
          <w:color w:val="000000"/>
          <w:sz w:val="21"/>
          <w:szCs w:val="21"/>
        </w:rPr>
      </w:pPr>
      <w:r>
        <w:rPr>
          <w:rFonts w:ascii="仿宋" w:hAnsi="仿宋" w:eastAsia="仿宋" w:cs="仿宋"/>
          <w:color w:val="000000"/>
          <w:sz w:val="21"/>
          <w:szCs w:val="21"/>
        </w:rPr>
        <w:t>4、软体床</w:t>
      </w:r>
    </w:p>
    <w:tbl>
      <w:tblPr>
        <w:tblStyle w:val="11"/>
        <w:tblW w:w="9624" w:type="dxa"/>
        <w:tblInd w:w="-201" w:type="dxa"/>
        <w:tblLayout w:type="fixed"/>
        <w:tblCellMar>
          <w:top w:w="0" w:type="dxa"/>
          <w:left w:w="108" w:type="dxa"/>
          <w:bottom w:w="0" w:type="dxa"/>
          <w:right w:w="108" w:type="dxa"/>
        </w:tblCellMar>
      </w:tblPr>
      <w:tblGrid>
        <w:gridCol w:w="490"/>
        <w:gridCol w:w="680"/>
        <w:gridCol w:w="1210"/>
        <w:gridCol w:w="2840"/>
        <w:gridCol w:w="941"/>
        <w:gridCol w:w="845"/>
        <w:gridCol w:w="914"/>
        <w:gridCol w:w="927"/>
        <w:gridCol w:w="777"/>
      </w:tblGrid>
      <w:tr>
        <w:tblPrEx>
          <w:tblCellMar>
            <w:top w:w="0" w:type="dxa"/>
            <w:left w:w="108" w:type="dxa"/>
            <w:bottom w:w="0" w:type="dxa"/>
            <w:right w:w="108" w:type="dxa"/>
          </w:tblCellMar>
        </w:tblPrEx>
        <w:trPr>
          <w:trHeight w:val="870" w:hRule="atLeast"/>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序号</w:t>
            </w:r>
          </w:p>
        </w:tc>
        <w:tc>
          <w:tcPr>
            <w:tcW w:w="189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检验项目</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依据标准</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强制性</w:t>
            </w: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非强制性</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重要项</w:t>
            </w: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较重要项</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次要项</w:t>
            </w:r>
          </w:p>
        </w:tc>
      </w:tr>
      <w:tr>
        <w:tblPrEx>
          <w:tblCellMar>
            <w:top w:w="0" w:type="dxa"/>
            <w:left w:w="108" w:type="dxa"/>
            <w:bottom w:w="0" w:type="dxa"/>
            <w:right w:w="108" w:type="dxa"/>
          </w:tblCellMar>
        </w:tblPrEx>
        <w:trPr>
          <w:trHeight w:val="363" w:hRule="atLeast"/>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p>
        </w:tc>
        <w:tc>
          <w:tcPr>
            <w:tcW w:w="189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底脚平稳性</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表2中序号2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80" w:hRule="atLeast"/>
        </w:trPr>
        <w:tc>
          <w:tcPr>
            <w:tcW w:w="49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2</w:t>
            </w:r>
          </w:p>
        </w:tc>
        <w:tc>
          <w:tcPr>
            <w:tcW w:w="1890" w:type="dxa"/>
            <w:gridSpan w:val="2"/>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木工</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表3中序号3</w:t>
            </w:r>
            <w:r>
              <w:rPr>
                <w:rFonts w:hint="eastAsia" w:ascii="仿宋" w:hAnsi="仿宋" w:eastAsia="仿宋"/>
                <w:color w:val="000000"/>
                <w:sz w:val="18"/>
              </w:rPr>
              <w:t>7</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0" w:hRule="atLeast"/>
        </w:trPr>
        <w:tc>
          <w:tcPr>
            <w:tcW w:w="490" w:type="dxa"/>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890" w:type="dxa"/>
            <w:gridSpan w:val="2"/>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表3中序号38</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19" w:hRule="atLeast"/>
        </w:trPr>
        <w:tc>
          <w:tcPr>
            <w:tcW w:w="490" w:type="dxa"/>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890" w:type="dxa"/>
            <w:gridSpan w:val="2"/>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w:t>
            </w:r>
            <w:r>
              <w:rPr>
                <w:rFonts w:hint="eastAsia" w:ascii="仿宋" w:hAnsi="仿宋" w:eastAsia="仿宋"/>
                <w:color w:val="000000"/>
                <w:sz w:val="18"/>
              </w:rPr>
              <w:t>39</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0" w:hRule="atLeast"/>
        </w:trPr>
        <w:tc>
          <w:tcPr>
            <w:tcW w:w="490" w:type="dxa"/>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890" w:type="dxa"/>
            <w:gridSpan w:val="2"/>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表3中序号4</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0" w:hRule="atLeast"/>
        </w:trPr>
        <w:tc>
          <w:tcPr>
            <w:tcW w:w="49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890" w:type="dxa"/>
            <w:gridSpan w:val="2"/>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表3中序号4</w:t>
            </w:r>
            <w:r>
              <w:rPr>
                <w:rFonts w:hint="eastAsia" w:ascii="仿宋" w:hAnsi="仿宋" w:eastAsia="仿宋"/>
                <w:color w:val="000000"/>
                <w:sz w:val="18"/>
              </w:rPr>
              <w:t>3</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0" w:hRule="atLeast"/>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3</w:t>
            </w:r>
          </w:p>
        </w:tc>
        <w:tc>
          <w:tcPr>
            <w:tcW w:w="189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内部木制件用料</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表3中序号4</w:t>
            </w:r>
            <w:r>
              <w:rPr>
                <w:rFonts w:hint="eastAsia" w:ascii="仿宋" w:hAnsi="仿宋" w:eastAsia="仿宋"/>
                <w:color w:val="000000"/>
                <w:sz w:val="18"/>
              </w:rPr>
              <w:t>7</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43" w:hRule="atLeast"/>
        </w:trPr>
        <w:tc>
          <w:tcPr>
            <w:tcW w:w="49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4</w:t>
            </w:r>
          </w:p>
        </w:tc>
        <w:tc>
          <w:tcPr>
            <w:tcW w:w="68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漆膜理化性能</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耐液性</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85"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附着力</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77"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抗冲击</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83"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耐干热</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20"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耐湿热</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54"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耐冷热温差</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965" w:hRule="atLeast"/>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5</w:t>
            </w:r>
          </w:p>
        </w:tc>
        <w:tc>
          <w:tcPr>
            <w:tcW w:w="68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软、硬质覆面理化性能</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表面耐磨性</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03" w:hRule="atLeast"/>
        </w:trPr>
        <w:tc>
          <w:tcPr>
            <w:tcW w:w="49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6</w:t>
            </w:r>
          </w:p>
        </w:tc>
        <w:tc>
          <w:tcPr>
            <w:tcW w:w="68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金属喷漆（塑）涂层</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硬度</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07" w:hRule="atLeast"/>
        </w:trPr>
        <w:tc>
          <w:tcPr>
            <w:tcW w:w="490" w:type="dxa"/>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冲击强度</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55" w:hRule="atLeast"/>
        </w:trPr>
        <w:tc>
          <w:tcPr>
            <w:tcW w:w="49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附着力</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804" w:hRule="atLeast"/>
        </w:trPr>
        <w:tc>
          <w:tcPr>
            <w:tcW w:w="49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7</w:t>
            </w:r>
          </w:p>
        </w:tc>
        <w:tc>
          <w:tcPr>
            <w:tcW w:w="68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皮革</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摩擦色牢度</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表4中序号1</w:t>
            </w:r>
            <w:r>
              <w:rPr>
                <w:rFonts w:hint="eastAsia" w:ascii="仿宋" w:hAnsi="仿宋" w:eastAsia="仿宋"/>
                <w:color w:val="000000"/>
                <w:sz w:val="18"/>
              </w:rPr>
              <w:t>、2、3、4</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40"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耐磨性</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表4中序号</w:t>
            </w:r>
            <w:r>
              <w:rPr>
                <w:rFonts w:hint="eastAsia" w:ascii="仿宋" w:hAnsi="仿宋" w:eastAsia="仿宋"/>
                <w:color w:val="000000"/>
                <w:sz w:val="18"/>
              </w:rPr>
              <w:t>6</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52"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pH</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表4中序号</w:t>
            </w:r>
            <w:r>
              <w:rPr>
                <w:rFonts w:hint="eastAsia" w:ascii="仿宋" w:hAnsi="仿宋" w:eastAsia="仿宋"/>
                <w:color w:val="000000"/>
                <w:sz w:val="18"/>
              </w:rPr>
              <w:t>7</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87" w:hRule="atLeast"/>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8</w:t>
            </w:r>
          </w:p>
        </w:tc>
        <w:tc>
          <w:tcPr>
            <w:tcW w:w="68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纺织面料</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耐干摩擦色牢度</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表4中序号</w:t>
            </w:r>
            <w:r>
              <w:rPr>
                <w:rFonts w:hint="eastAsia" w:ascii="仿宋" w:hAnsi="仿宋" w:eastAsia="仿宋"/>
                <w:color w:val="000000"/>
                <w:sz w:val="18"/>
              </w:rPr>
              <w:t>8</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0" w:hRule="atLeast"/>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9</w:t>
            </w:r>
          </w:p>
        </w:tc>
        <w:tc>
          <w:tcPr>
            <w:tcW w:w="189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阻燃性（家用产品）</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5.7</w:t>
            </w:r>
          </w:p>
          <w:p>
            <w:pPr>
              <w:spacing w:line="220" w:lineRule="exact"/>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 xml:space="preserve"> GB 17927.1</w:t>
            </w:r>
            <w:r>
              <w:rPr>
                <w:rFonts w:hint="eastAsia" w:ascii="仿宋" w:hAnsi="仿宋" w:eastAsia="仿宋"/>
                <w:color w:val="000000"/>
                <w:sz w:val="18"/>
              </w:rPr>
              <w:t>-2011</w:t>
            </w:r>
          </w:p>
          <w:p>
            <w:pPr>
              <w:autoSpaceDN w:val="0"/>
              <w:snapToGrid w:val="0"/>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GB 17927.2</w:t>
            </w:r>
            <w:r>
              <w:rPr>
                <w:rFonts w:hint="eastAsia" w:ascii="仿宋" w:hAnsi="仿宋" w:eastAsia="仿宋"/>
                <w:color w:val="000000"/>
                <w:sz w:val="18"/>
              </w:rPr>
              <w:t>-2011）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221" w:hRule="atLeast"/>
        </w:trPr>
        <w:tc>
          <w:tcPr>
            <w:tcW w:w="49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10</w:t>
            </w:r>
          </w:p>
        </w:tc>
        <w:tc>
          <w:tcPr>
            <w:tcW w:w="68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力学性能</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床屏水平静载荷试验</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表5中序号1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037"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床长边静载荷试验</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表5中序号2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037" w:hRule="atLeast"/>
        </w:trPr>
        <w:tc>
          <w:tcPr>
            <w:tcW w:w="49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11</w:t>
            </w:r>
          </w:p>
        </w:tc>
        <w:tc>
          <w:tcPr>
            <w:tcW w:w="68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有害物质限量</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甲醛释放量</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w:t>
            </w:r>
            <w:r>
              <w:rPr>
                <w:rFonts w:hint="eastAsia" w:ascii="仿宋" w:hAnsi="仿宋" w:eastAsia="仿宋"/>
                <w:color w:val="000000"/>
                <w:sz w:val="18"/>
              </w:rPr>
              <w:t>6</w:t>
            </w:r>
            <w:r>
              <w:rPr>
                <w:rFonts w:ascii="仿宋" w:hAnsi="仿宋" w:eastAsia="仿宋"/>
                <w:color w:val="000000"/>
                <w:sz w:val="18"/>
              </w:rPr>
              <w:t>中序号</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037" w:hRule="atLeast"/>
        </w:trPr>
        <w:tc>
          <w:tcPr>
            <w:tcW w:w="49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总挥发性有机物化合物（TVOC）</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w:t>
            </w:r>
            <w:r>
              <w:rPr>
                <w:rFonts w:hint="eastAsia" w:ascii="仿宋" w:hAnsi="仿宋" w:eastAsia="仿宋"/>
                <w:color w:val="000000"/>
                <w:sz w:val="18"/>
              </w:rPr>
              <w:t>6</w:t>
            </w:r>
            <w:r>
              <w:rPr>
                <w:rFonts w:ascii="仿宋" w:hAnsi="仿宋" w:eastAsia="仿宋"/>
                <w:color w:val="000000"/>
                <w:sz w:val="18"/>
              </w:rPr>
              <w:t>中序号2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bl>
    <w:p>
      <w:pPr>
        <w:spacing w:line="360" w:lineRule="auto"/>
        <w:outlineLvl w:val="0"/>
        <w:rPr>
          <w:rFonts w:ascii="仿宋" w:hAnsi="仿宋" w:eastAsia="仿宋" w:cs="仿宋"/>
          <w:sz w:val="21"/>
          <w:szCs w:val="21"/>
        </w:rPr>
      </w:pPr>
      <w:r>
        <w:rPr>
          <w:rFonts w:hint="eastAsia" w:ascii="仿宋" w:hAnsi="仿宋" w:eastAsia="仿宋" w:cs="仿宋"/>
          <w:sz w:val="21"/>
          <w:szCs w:val="21"/>
        </w:rPr>
        <w:t>5、软体办公椅</w:t>
      </w:r>
    </w:p>
    <w:tbl>
      <w:tblPr>
        <w:tblStyle w:val="11"/>
        <w:tblW w:w="9532" w:type="dxa"/>
        <w:tblInd w:w="-218" w:type="dxa"/>
        <w:tblLayout w:type="fixed"/>
        <w:tblCellMar>
          <w:top w:w="0" w:type="dxa"/>
          <w:left w:w="108" w:type="dxa"/>
          <w:bottom w:w="0" w:type="dxa"/>
          <w:right w:w="108" w:type="dxa"/>
        </w:tblCellMar>
      </w:tblPr>
      <w:tblGrid>
        <w:gridCol w:w="892"/>
        <w:gridCol w:w="452"/>
        <w:gridCol w:w="824"/>
        <w:gridCol w:w="2552"/>
        <w:gridCol w:w="901"/>
        <w:gridCol w:w="960"/>
        <w:gridCol w:w="1050"/>
        <w:gridCol w:w="990"/>
        <w:gridCol w:w="911"/>
      </w:tblGrid>
      <w:tr>
        <w:tblPrEx>
          <w:tblCellMar>
            <w:top w:w="0" w:type="dxa"/>
            <w:left w:w="108" w:type="dxa"/>
            <w:bottom w:w="0" w:type="dxa"/>
            <w:right w:w="108" w:type="dxa"/>
          </w:tblCellMar>
        </w:tblPrEx>
        <w:trPr>
          <w:trHeight w:val="539" w:hRule="atLeast"/>
          <w:tblHeader/>
        </w:trPr>
        <w:tc>
          <w:tcPr>
            <w:tcW w:w="892"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序号</w:t>
            </w:r>
          </w:p>
        </w:tc>
        <w:tc>
          <w:tcPr>
            <w:tcW w:w="1276" w:type="dxa"/>
            <w:gridSpan w:val="2"/>
            <w:tcBorders>
              <w:top w:val="single" w:color="000000"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检验项目</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依据标准</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强制性</w:t>
            </w: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非强制性</w:t>
            </w:r>
          </w:p>
        </w:tc>
        <w:tc>
          <w:tcPr>
            <w:tcW w:w="1050" w:type="dxa"/>
            <w:tcBorders>
              <w:top w:val="single" w:color="000000" w:sz="4" w:space="0"/>
              <w:left w:val="nil"/>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重要项</w:t>
            </w:r>
          </w:p>
        </w:tc>
        <w:tc>
          <w:tcPr>
            <w:tcW w:w="990"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较重要项</w:t>
            </w:r>
          </w:p>
        </w:tc>
        <w:tc>
          <w:tcPr>
            <w:tcW w:w="91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次要项</w:t>
            </w:r>
          </w:p>
        </w:tc>
      </w:tr>
      <w:tr>
        <w:tblPrEx>
          <w:tblCellMar>
            <w:top w:w="0" w:type="dxa"/>
            <w:left w:w="108" w:type="dxa"/>
            <w:bottom w:w="0" w:type="dxa"/>
            <w:right w:w="108" w:type="dxa"/>
          </w:tblCellMar>
        </w:tblPrEx>
        <w:trPr>
          <w:trHeight w:val="223" w:hRule="atLeast"/>
        </w:trPr>
        <w:tc>
          <w:tcPr>
            <w:tcW w:w="892" w:type="dxa"/>
            <w:vMerge w:val="restart"/>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p>
        </w:tc>
        <w:tc>
          <w:tcPr>
            <w:tcW w:w="1276" w:type="dxa"/>
            <w:gridSpan w:val="2"/>
            <w:vMerge w:val="restart"/>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其他</w:t>
            </w:r>
          </w:p>
          <w:p>
            <w:pPr>
              <w:autoSpaceDN w:val="0"/>
              <w:snapToGrid w:val="0"/>
              <w:jc w:val="center"/>
              <w:rPr>
                <w:rFonts w:ascii="仿宋" w:hAnsi="仿宋" w:eastAsia="仿宋"/>
                <w:color w:val="000000"/>
                <w:sz w:val="18"/>
              </w:rPr>
            </w:pPr>
            <w:r>
              <w:rPr>
                <w:rFonts w:ascii="仿宋" w:hAnsi="仿宋" w:eastAsia="仿宋"/>
                <w:color w:val="000000"/>
                <w:sz w:val="18"/>
              </w:rPr>
              <w:t>外观要求</w:t>
            </w:r>
          </w:p>
        </w:tc>
        <w:tc>
          <w:tcPr>
            <w:tcW w:w="255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5.3.6.1</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nil"/>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94"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5.3.6.2</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0"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5.3.6.3</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0"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5.3.6.4</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65"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5.3.6.5</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65"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5.3.6.6</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0"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5.3.6.7</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76" w:hRule="atLeast"/>
        </w:trPr>
        <w:tc>
          <w:tcPr>
            <w:tcW w:w="892" w:type="dxa"/>
            <w:vMerge w:val="restart"/>
            <w:tcBorders>
              <w:top w:val="single" w:color="auto" w:sz="4" w:space="0"/>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2</w:t>
            </w:r>
          </w:p>
        </w:tc>
        <w:tc>
          <w:tcPr>
            <w:tcW w:w="452" w:type="dxa"/>
            <w:vMerge w:val="restart"/>
            <w:tcBorders>
              <w:top w:val="single" w:color="auto" w:sz="4" w:space="0"/>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力学</w:t>
            </w:r>
          </w:p>
          <w:p>
            <w:pPr>
              <w:autoSpaceDN w:val="0"/>
              <w:snapToGrid w:val="0"/>
              <w:jc w:val="center"/>
              <w:rPr>
                <w:rFonts w:ascii="仿宋" w:hAnsi="仿宋" w:eastAsia="仿宋"/>
                <w:color w:val="000000"/>
                <w:sz w:val="18"/>
              </w:rPr>
            </w:pPr>
            <w:r>
              <w:rPr>
                <w:rFonts w:ascii="仿宋" w:hAnsi="仿宋" w:eastAsia="仿宋"/>
                <w:color w:val="000000"/>
                <w:sz w:val="18"/>
              </w:rPr>
              <w:t>性能要求</w:t>
            </w:r>
          </w:p>
        </w:tc>
        <w:tc>
          <w:tcPr>
            <w:tcW w:w="824"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稳定性</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2280-2016表4序号1</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89" w:hRule="atLeast"/>
        </w:trPr>
        <w:tc>
          <w:tcPr>
            <w:tcW w:w="892"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452"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24" w:type="dxa"/>
            <w:tcBorders>
              <w:top w:val="single" w:color="auto"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座面冲击</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2280-2016表4序号2</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89" w:hRule="atLeast"/>
        </w:trPr>
        <w:tc>
          <w:tcPr>
            <w:tcW w:w="892"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452"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24" w:type="dxa"/>
            <w:tcBorders>
              <w:top w:val="single" w:color="auto"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扶手垂直向下静载荷</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w:t>
            </w:r>
            <w:r>
              <w:rPr>
                <w:rFonts w:hint="eastAsia" w:ascii="仿宋" w:hAnsi="仿宋" w:eastAsia="仿宋"/>
                <w:color w:val="000000"/>
                <w:sz w:val="18"/>
              </w:rPr>
              <w:t>4</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89" w:hRule="atLeast"/>
        </w:trPr>
        <w:tc>
          <w:tcPr>
            <w:tcW w:w="892"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452"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24" w:type="dxa"/>
            <w:tcBorders>
              <w:top w:val="single" w:color="auto"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扶手水平静载荷</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w:t>
            </w:r>
            <w:r>
              <w:rPr>
                <w:rFonts w:hint="eastAsia" w:ascii="仿宋" w:hAnsi="仿宋" w:eastAsia="仿宋"/>
                <w:color w:val="000000"/>
                <w:sz w:val="18"/>
              </w:rPr>
              <w:t>5</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46" w:hRule="atLeast"/>
        </w:trPr>
        <w:tc>
          <w:tcPr>
            <w:tcW w:w="892"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452"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2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底座静载荷</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2280-2016表4序号7</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46" w:hRule="atLeast"/>
        </w:trPr>
        <w:tc>
          <w:tcPr>
            <w:tcW w:w="892"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452" w:type="dxa"/>
            <w:vMerge w:val="continue"/>
            <w:tcBorders>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2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跌落</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w:t>
            </w:r>
            <w:r>
              <w:rPr>
                <w:rFonts w:hint="eastAsia" w:ascii="仿宋" w:hAnsi="仿宋" w:eastAsia="仿宋"/>
                <w:color w:val="000000"/>
                <w:sz w:val="18"/>
              </w:rPr>
              <w:t>13</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46" w:hRule="atLeast"/>
        </w:trPr>
        <w:tc>
          <w:tcPr>
            <w:tcW w:w="8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3</w:t>
            </w:r>
          </w:p>
        </w:tc>
        <w:tc>
          <w:tcPr>
            <w:tcW w:w="127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阻燃性要求</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20" w:lineRule="exact"/>
              <w:jc w:val="center"/>
              <w:rPr>
                <w:rFonts w:ascii="仿宋" w:hAnsi="仿宋" w:eastAsia="仿宋"/>
                <w:color w:val="000000"/>
                <w:sz w:val="18"/>
              </w:rPr>
            </w:pPr>
            <w:r>
              <w:rPr>
                <w:rFonts w:ascii="仿宋" w:hAnsi="仿宋" w:eastAsia="仿宋"/>
                <w:color w:val="000000"/>
                <w:sz w:val="18"/>
              </w:rPr>
              <w:t>QB/T 2280-2016 5.6.1</w:t>
            </w:r>
          </w:p>
          <w:p>
            <w:pPr>
              <w:spacing w:line="220" w:lineRule="exact"/>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 xml:space="preserve"> GB 17927.1</w:t>
            </w:r>
            <w:r>
              <w:rPr>
                <w:rFonts w:hint="eastAsia" w:ascii="仿宋" w:hAnsi="仿宋" w:eastAsia="仿宋"/>
                <w:color w:val="000000"/>
                <w:sz w:val="18"/>
              </w:rPr>
              <w:t>-2011</w:t>
            </w:r>
          </w:p>
          <w:p>
            <w:pPr>
              <w:spacing w:line="220" w:lineRule="exact"/>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GB 17927.2</w:t>
            </w:r>
            <w:r>
              <w:rPr>
                <w:rFonts w:hint="eastAsia" w:ascii="仿宋" w:hAnsi="仿宋" w:eastAsia="仿宋"/>
                <w:color w:val="000000"/>
                <w:sz w:val="18"/>
              </w:rPr>
              <w:t>-2011）</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46" w:hRule="atLeast"/>
        </w:trPr>
        <w:tc>
          <w:tcPr>
            <w:tcW w:w="8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4</w:t>
            </w:r>
          </w:p>
        </w:tc>
        <w:tc>
          <w:tcPr>
            <w:tcW w:w="127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甲醛释放量</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20" w:lineRule="exact"/>
              <w:jc w:val="center"/>
              <w:rPr>
                <w:rFonts w:ascii="仿宋" w:hAnsi="仿宋" w:eastAsia="仿宋"/>
                <w:color w:val="000000"/>
                <w:sz w:val="18"/>
              </w:rPr>
            </w:pPr>
            <w:r>
              <w:rPr>
                <w:rFonts w:ascii="仿宋" w:hAnsi="仿宋" w:eastAsia="仿宋"/>
                <w:color w:val="000000"/>
                <w:sz w:val="18"/>
              </w:rPr>
              <w:t>QB/T 2280-2016 5.</w:t>
            </w:r>
            <w:r>
              <w:rPr>
                <w:rFonts w:hint="eastAsia" w:ascii="仿宋" w:hAnsi="仿宋" w:eastAsia="仿宋"/>
                <w:color w:val="000000"/>
                <w:sz w:val="18"/>
              </w:rPr>
              <w:t>7</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46" w:hRule="atLeast"/>
        </w:trPr>
        <w:tc>
          <w:tcPr>
            <w:tcW w:w="8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5</w:t>
            </w:r>
          </w:p>
        </w:tc>
        <w:tc>
          <w:tcPr>
            <w:tcW w:w="127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TVOC</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20" w:lineRule="exact"/>
              <w:jc w:val="center"/>
              <w:rPr>
                <w:rFonts w:ascii="仿宋" w:hAnsi="仿宋" w:eastAsia="仿宋"/>
                <w:color w:val="000000"/>
                <w:sz w:val="18"/>
              </w:rPr>
            </w:pPr>
            <w:r>
              <w:rPr>
                <w:rFonts w:ascii="仿宋" w:hAnsi="仿宋" w:eastAsia="仿宋"/>
                <w:color w:val="000000"/>
                <w:sz w:val="18"/>
              </w:rPr>
              <w:t>QB/T 2280-2016 5.</w:t>
            </w:r>
            <w:r>
              <w:rPr>
                <w:rFonts w:hint="eastAsia" w:ascii="仿宋" w:hAnsi="仿宋" w:eastAsia="仿宋"/>
                <w:color w:val="000000"/>
                <w:sz w:val="18"/>
              </w:rPr>
              <w:t>8</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bl>
    <w:p>
      <w:pPr>
        <w:spacing w:line="360" w:lineRule="auto"/>
        <w:outlineLvl w:val="0"/>
        <w:rPr>
          <w:rFonts w:ascii="仿宋" w:hAnsi="仿宋" w:eastAsia="仿宋" w:cs="仿宋"/>
          <w:sz w:val="21"/>
          <w:szCs w:val="21"/>
        </w:rPr>
      </w:pPr>
      <w:r>
        <w:rPr>
          <w:rFonts w:hint="eastAsia" w:ascii="仿宋" w:hAnsi="仿宋" w:eastAsia="仿宋" w:cs="仿宋"/>
          <w:sz w:val="21"/>
          <w:szCs w:val="21"/>
        </w:rPr>
        <w:t>（6）判定原则</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1、经检验，检验项目全部合格，判定样本所检质量指标未发现不合格，不对监督总体进行判定。</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检验项目中任一项或一项以上不合格，根据T/GDAQI 020-2022《产品质量监督抽查抽样检验技术服务规范》8.2 的相关要求，依据质量指标的重要程度及不合格的严重程度，对样本及监督总体进行综合判定：存在重要质量指标不合格时，所检样本为严重不合格，判定监督总体为严重不合格；仅较重要质量指标或次要质量指标不合格时，所检样本为不合格，判定监督总体为不合格。</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2、当被检产品明示的质量要求优于监督抽查实施细则中依据的标准要求时，应按被检产品明示的质量要求判定。</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3、当被检样品明示的质量要求劣于或不包含监督抽查实施细则中依据的强制性标准要求时，应按照强制性标准要求判定。</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4、当被检产品明示的质量要求劣于或包括监督抽查实施细则中依据的推荐性标准要求时，应以被检产品明示的质量要求判定，如果相应检验结果不符合细则中依据的推荐性标准要求时，应在检验报告中予以说明。</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5、当被检产品明示的质量标准不包含监督抽查实施细则中依据的推荐性标准要求时，该项目不参与判定，但应在检验报告中作出说明。</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6、当被检产品未能提供有效的企业标准或未标注有效的执行标准，影响检测和判定时，按相关国家或行业标准进行判定，并在检验报告中作出相关说明。</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（7）样品管理</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检验机构接收样品应当有专人负责检查、记录样品的外观、状态、封条有无破损及其他可能对检测结果或者综合判定产生影响的情况，并对检测和备用样品分别加贴相应标识后入库。</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（8）异议处理</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按照《东莞市市场监督管理局产品质量监督抽查管理工作指引》（东市监质监〔2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〕9号）第九章中的相关内容进行。</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w:t>
      </w:r>
      <w:r>
        <w:rPr>
          <w:rFonts w:ascii="仿宋" w:hAnsi="仿宋" w:eastAsia="仿宋" w:cs="仿宋"/>
          <w:sz w:val="21"/>
          <w:szCs w:val="21"/>
        </w:rPr>
        <w:t>9</w:t>
      </w:r>
      <w:r>
        <w:rPr>
          <w:rFonts w:hint="eastAsia" w:ascii="仿宋" w:hAnsi="仿宋" w:eastAsia="仿宋" w:cs="仿宋"/>
          <w:sz w:val="21"/>
          <w:szCs w:val="21"/>
        </w:rPr>
        <w:t>）其他（注意事项）</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本细则未明确的监督抽查抽样检验相关技术规范，均按照《产品质量监督抽查管理暂行办法》（国家市场监督管理总局第18 号令）、《产品质量监督抽查抽样检验技术服务规范》（T/GDAQI</w:t>
      </w:r>
      <w:r>
        <w:rPr>
          <w:rFonts w:ascii="仿宋" w:hAnsi="仿宋" w:eastAsia="仿宋" w:cs="仿宋"/>
          <w:sz w:val="21"/>
          <w:szCs w:val="21"/>
        </w:rPr>
        <w:t xml:space="preserve"> </w:t>
      </w:r>
      <w:r>
        <w:rPr>
          <w:rFonts w:hint="eastAsia" w:ascii="仿宋" w:hAnsi="仿宋" w:eastAsia="仿宋" w:cs="仿宋"/>
          <w:sz w:val="21"/>
          <w:szCs w:val="21"/>
        </w:rPr>
        <w:t>020-20</w:t>
      </w:r>
      <w:r>
        <w:rPr>
          <w:rFonts w:ascii="仿宋" w:hAnsi="仿宋" w:eastAsia="仿宋" w:cs="仿宋"/>
          <w:sz w:val="21"/>
          <w:szCs w:val="21"/>
        </w:rPr>
        <w:t>22</w:t>
      </w:r>
      <w:r>
        <w:rPr>
          <w:rFonts w:hint="eastAsia" w:ascii="仿宋" w:hAnsi="仿宋" w:eastAsia="仿宋" w:cs="仿宋"/>
          <w:sz w:val="21"/>
          <w:szCs w:val="21"/>
        </w:rPr>
        <w:t>）、《东莞市市场监督管理局产品质量监督抽查管理工作指引》（东市监质监〔2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〕9号）规定执行。</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出现样品封样及密封状态被破坏、样品异常损坏等现象，无法正常进行下一步有关项目检验和判定时，应重新抽样。必要时应采集并保存影像记录。被抽样产品实行生产许可、强制性产品认证等管理的，检验人员应当在检验前核实样品是否符合相应要求。发现样品涉嫌存在无证等情形的，应当终止检验，立即报告监督抽查组织者。</w:t>
      </w:r>
    </w:p>
    <w:p>
      <w:pPr>
        <w:spacing w:line="360" w:lineRule="auto"/>
        <w:ind w:firstLine="560" w:firstLineChars="200"/>
        <w:rPr>
          <w:rFonts w:ascii="仿宋" w:hAnsi="仿宋" w:eastAsia="仿宋" w:cs="仿宋"/>
          <w:sz w:val="28"/>
          <w:szCs w:val="28"/>
        </w:rPr>
      </w:pPr>
    </w:p>
    <w:p>
      <w:pPr>
        <w:spacing w:line="360" w:lineRule="auto"/>
        <w:ind w:firstLine="560" w:firstLineChars="200"/>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ind w:firstLine="560" w:firstLineChars="200"/>
        <w:rPr>
          <w:rFonts w:ascii="仿宋" w:hAnsi="仿宋" w:eastAsia="仿宋" w:cs="仿宋"/>
          <w:sz w:val="28"/>
          <w:szCs w:val="28"/>
        </w:rPr>
      </w:pPr>
    </w:p>
    <w:p>
      <w:pPr>
        <w:pStyle w:val="2"/>
      </w:pPr>
    </w:p>
    <w:p/>
    <w:p>
      <w:pPr>
        <w:pStyle w:val="2"/>
        <w:rPr>
          <w:rFonts w:ascii="仿宋" w:hAnsi="仿宋" w:eastAsia="仿宋" w:cs="仿宋"/>
          <w:sz w:val="21"/>
          <w:szCs w:val="21"/>
        </w:rPr>
      </w:pPr>
    </w:p>
    <w:p>
      <w:pPr>
        <w:rPr>
          <w:rFonts w:ascii="仿宋" w:hAnsi="仿宋" w:eastAsia="仿宋" w:cs="仿宋"/>
          <w:sz w:val="21"/>
          <w:szCs w:val="21"/>
        </w:rPr>
      </w:pPr>
    </w:p>
    <w:p>
      <w:pPr>
        <w:pStyle w:val="2"/>
        <w:rPr>
          <w:rFonts w:ascii="仿宋" w:hAnsi="仿宋" w:eastAsia="仿宋" w:cs="仿宋"/>
          <w:sz w:val="21"/>
          <w:szCs w:val="21"/>
        </w:rPr>
      </w:pPr>
    </w:p>
    <w:p>
      <w:pPr>
        <w:rPr>
          <w:rFonts w:ascii="仿宋" w:hAnsi="仿宋" w:eastAsia="仿宋" w:cs="仿宋"/>
          <w:sz w:val="21"/>
          <w:szCs w:val="21"/>
        </w:rPr>
      </w:pPr>
    </w:p>
    <w:p>
      <w:pPr>
        <w:pStyle w:val="2"/>
        <w:jc w:val="left"/>
      </w:pPr>
      <w:bookmarkStart w:id="0" w:name="_GoBack"/>
      <w:bookmarkEnd w:id="0"/>
    </w:p>
    <w:sectPr>
      <w:headerReference r:id="rId5" w:type="default"/>
      <w:footerReference r:id="rId6" w:type="default"/>
      <w:pgSz w:w="11907" w:h="16840"/>
      <w:pgMar w:top="1701" w:right="1418" w:bottom="1701" w:left="1418" w:header="567" w:footer="56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val="0"/>
      <w:spacing w:before="120" w:beforeLines="50" w:line="240" w:lineRule="auto"/>
      <w:textAlignment w:val="auto"/>
      <w:rPr>
        <w:rFonts w:ascii="宋体" w:hAnsi="宋体"/>
        <w:kern w:val="2"/>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rPr>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DB605"/>
    <w:multiLevelType w:val="singleLevel"/>
    <w:tmpl w:val="30DDB605"/>
    <w:lvl w:ilvl="0" w:tentative="0">
      <w:start w:val="5"/>
      <w:numFmt w:val="decimal"/>
      <w:suff w:val="nothing"/>
      <w:lvlText w:val="（%1）"/>
      <w:lvlJc w:val="left"/>
    </w:lvl>
  </w:abstractNum>
  <w:abstractNum w:abstractNumId="1">
    <w:nsid w:val="5D25A383"/>
    <w:multiLevelType w:val="singleLevel"/>
    <w:tmpl w:val="5D25A383"/>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5"/>
  <w:drawingGridHorizontalSpacing w:val="120"/>
  <w:drawingGridVerticalSpacing w:val="104"/>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kODdkN2ExMjUzOTU1OTJjOWJmYzU2NjU2MmUxZGYifQ=="/>
  </w:docVars>
  <w:rsids>
    <w:rsidRoot w:val="00172A27"/>
    <w:rsid w:val="00014FBA"/>
    <w:rsid w:val="0001580C"/>
    <w:rsid w:val="0002134E"/>
    <w:rsid w:val="000235A7"/>
    <w:rsid w:val="000238C9"/>
    <w:rsid w:val="000242C4"/>
    <w:rsid w:val="000265B7"/>
    <w:rsid w:val="00033F1B"/>
    <w:rsid w:val="0004340D"/>
    <w:rsid w:val="0004668C"/>
    <w:rsid w:val="0004702C"/>
    <w:rsid w:val="00047B0F"/>
    <w:rsid w:val="0005291D"/>
    <w:rsid w:val="00070EDE"/>
    <w:rsid w:val="00075B44"/>
    <w:rsid w:val="00076E2F"/>
    <w:rsid w:val="00077516"/>
    <w:rsid w:val="000840B3"/>
    <w:rsid w:val="00090AD1"/>
    <w:rsid w:val="000A5D44"/>
    <w:rsid w:val="000B46F1"/>
    <w:rsid w:val="000B4BDD"/>
    <w:rsid w:val="000C0D15"/>
    <w:rsid w:val="000D0A66"/>
    <w:rsid w:val="000D27E4"/>
    <w:rsid w:val="000E4658"/>
    <w:rsid w:val="000E5CEB"/>
    <w:rsid w:val="000F73ED"/>
    <w:rsid w:val="000F7D6B"/>
    <w:rsid w:val="001205F2"/>
    <w:rsid w:val="00142195"/>
    <w:rsid w:val="00162436"/>
    <w:rsid w:val="00172A27"/>
    <w:rsid w:val="00185E6E"/>
    <w:rsid w:val="001A20F2"/>
    <w:rsid w:val="001A3727"/>
    <w:rsid w:val="001A4361"/>
    <w:rsid w:val="001A52B8"/>
    <w:rsid w:val="001A7886"/>
    <w:rsid w:val="001F752D"/>
    <w:rsid w:val="00206E81"/>
    <w:rsid w:val="00215A53"/>
    <w:rsid w:val="00217474"/>
    <w:rsid w:val="002215F6"/>
    <w:rsid w:val="00245F22"/>
    <w:rsid w:val="00252873"/>
    <w:rsid w:val="00254F88"/>
    <w:rsid w:val="0025728F"/>
    <w:rsid w:val="00266DC7"/>
    <w:rsid w:val="00275136"/>
    <w:rsid w:val="00276164"/>
    <w:rsid w:val="0027648A"/>
    <w:rsid w:val="0028133E"/>
    <w:rsid w:val="002817E3"/>
    <w:rsid w:val="00284A27"/>
    <w:rsid w:val="0028615C"/>
    <w:rsid w:val="00293D10"/>
    <w:rsid w:val="0029652A"/>
    <w:rsid w:val="002A0CC8"/>
    <w:rsid w:val="002A6FCD"/>
    <w:rsid w:val="002B2DF0"/>
    <w:rsid w:val="002B51D1"/>
    <w:rsid w:val="002E0333"/>
    <w:rsid w:val="002E4CFD"/>
    <w:rsid w:val="002F5DBB"/>
    <w:rsid w:val="002F649A"/>
    <w:rsid w:val="00315B36"/>
    <w:rsid w:val="003210C7"/>
    <w:rsid w:val="00323686"/>
    <w:rsid w:val="003333B9"/>
    <w:rsid w:val="00340573"/>
    <w:rsid w:val="00345DE8"/>
    <w:rsid w:val="00346667"/>
    <w:rsid w:val="003512E5"/>
    <w:rsid w:val="00367410"/>
    <w:rsid w:val="0037149F"/>
    <w:rsid w:val="003813F8"/>
    <w:rsid w:val="003826AB"/>
    <w:rsid w:val="003852D8"/>
    <w:rsid w:val="003926F3"/>
    <w:rsid w:val="00397868"/>
    <w:rsid w:val="00397AAF"/>
    <w:rsid w:val="003A22AD"/>
    <w:rsid w:val="003A5748"/>
    <w:rsid w:val="003C4D30"/>
    <w:rsid w:val="003E320B"/>
    <w:rsid w:val="003E72DC"/>
    <w:rsid w:val="003F2C68"/>
    <w:rsid w:val="003F5CBE"/>
    <w:rsid w:val="003F700A"/>
    <w:rsid w:val="0040482C"/>
    <w:rsid w:val="00414ED5"/>
    <w:rsid w:val="0041789E"/>
    <w:rsid w:val="0042780F"/>
    <w:rsid w:val="00434157"/>
    <w:rsid w:val="004506C5"/>
    <w:rsid w:val="00453C4F"/>
    <w:rsid w:val="00453F4C"/>
    <w:rsid w:val="00456AFB"/>
    <w:rsid w:val="004648FB"/>
    <w:rsid w:val="0047234A"/>
    <w:rsid w:val="00475B41"/>
    <w:rsid w:val="0047655C"/>
    <w:rsid w:val="004825C5"/>
    <w:rsid w:val="004830AF"/>
    <w:rsid w:val="004831BC"/>
    <w:rsid w:val="0049149D"/>
    <w:rsid w:val="00494F3A"/>
    <w:rsid w:val="004B709C"/>
    <w:rsid w:val="004B72F7"/>
    <w:rsid w:val="004C0FC3"/>
    <w:rsid w:val="004C221D"/>
    <w:rsid w:val="004C772B"/>
    <w:rsid w:val="004D3C9D"/>
    <w:rsid w:val="004F4F95"/>
    <w:rsid w:val="00510116"/>
    <w:rsid w:val="00513958"/>
    <w:rsid w:val="005140B0"/>
    <w:rsid w:val="00524C79"/>
    <w:rsid w:val="005321AA"/>
    <w:rsid w:val="00533CBA"/>
    <w:rsid w:val="00533EAD"/>
    <w:rsid w:val="00535D2D"/>
    <w:rsid w:val="00546ED3"/>
    <w:rsid w:val="00552CCA"/>
    <w:rsid w:val="00556567"/>
    <w:rsid w:val="00557729"/>
    <w:rsid w:val="00560990"/>
    <w:rsid w:val="00561668"/>
    <w:rsid w:val="00566446"/>
    <w:rsid w:val="00570B45"/>
    <w:rsid w:val="00585502"/>
    <w:rsid w:val="00593E80"/>
    <w:rsid w:val="005961AA"/>
    <w:rsid w:val="005B2896"/>
    <w:rsid w:val="005B3F13"/>
    <w:rsid w:val="005C1809"/>
    <w:rsid w:val="005C2EE7"/>
    <w:rsid w:val="005C7E89"/>
    <w:rsid w:val="00603B2C"/>
    <w:rsid w:val="00612B4D"/>
    <w:rsid w:val="00615F71"/>
    <w:rsid w:val="00621FCE"/>
    <w:rsid w:val="006350A7"/>
    <w:rsid w:val="006568BD"/>
    <w:rsid w:val="0065696A"/>
    <w:rsid w:val="00660B82"/>
    <w:rsid w:val="00664C19"/>
    <w:rsid w:val="0069143E"/>
    <w:rsid w:val="006A14F1"/>
    <w:rsid w:val="006C6866"/>
    <w:rsid w:val="006C721B"/>
    <w:rsid w:val="006C7A01"/>
    <w:rsid w:val="006D1A95"/>
    <w:rsid w:val="006D1DFE"/>
    <w:rsid w:val="006E05D0"/>
    <w:rsid w:val="006E49E5"/>
    <w:rsid w:val="006F6162"/>
    <w:rsid w:val="00705508"/>
    <w:rsid w:val="00706F01"/>
    <w:rsid w:val="00721063"/>
    <w:rsid w:val="00723410"/>
    <w:rsid w:val="0072386F"/>
    <w:rsid w:val="00732C6E"/>
    <w:rsid w:val="00733459"/>
    <w:rsid w:val="007352A5"/>
    <w:rsid w:val="0073668A"/>
    <w:rsid w:val="00741CC3"/>
    <w:rsid w:val="00742124"/>
    <w:rsid w:val="00750B35"/>
    <w:rsid w:val="00751F74"/>
    <w:rsid w:val="00755B34"/>
    <w:rsid w:val="00756B42"/>
    <w:rsid w:val="0076385D"/>
    <w:rsid w:val="00765D48"/>
    <w:rsid w:val="00766D4E"/>
    <w:rsid w:val="0076728E"/>
    <w:rsid w:val="00770562"/>
    <w:rsid w:val="007719D6"/>
    <w:rsid w:val="00773213"/>
    <w:rsid w:val="007771BD"/>
    <w:rsid w:val="00780208"/>
    <w:rsid w:val="0078303D"/>
    <w:rsid w:val="007835F9"/>
    <w:rsid w:val="007903D2"/>
    <w:rsid w:val="007A3C4F"/>
    <w:rsid w:val="007B27F9"/>
    <w:rsid w:val="007D03B8"/>
    <w:rsid w:val="007D282F"/>
    <w:rsid w:val="007E36C1"/>
    <w:rsid w:val="007E388C"/>
    <w:rsid w:val="007E3F24"/>
    <w:rsid w:val="007E5FB4"/>
    <w:rsid w:val="007F503F"/>
    <w:rsid w:val="00807F7D"/>
    <w:rsid w:val="008105C8"/>
    <w:rsid w:val="008152BC"/>
    <w:rsid w:val="00843E99"/>
    <w:rsid w:val="0085273C"/>
    <w:rsid w:val="00861CCD"/>
    <w:rsid w:val="00863884"/>
    <w:rsid w:val="00872471"/>
    <w:rsid w:val="008801E4"/>
    <w:rsid w:val="00882486"/>
    <w:rsid w:val="008927B6"/>
    <w:rsid w:val="008A1773"/>
    <w:rsid w:val="008B07AC"/>
    <w:rsid w:val="008B081C"/>
    <w:rsid w:val="008B47D5"/>
    <w:rsid w:val="008C0CCF"/>
    <w:rsid w:val="008E3DD3"/>
    <w:rsid w:val="008E695C"/>
    <w:rsid w:val="00903F1A"/>
    <w:rsid w:val="009051AC"/>
    <w:rsid w:val="009159C4"/>
    <w:rsid w:val="0092132A"/>
    <w:rsid w:val="0093118C"/>
    <w:rsid w:val="00941F5B"/>
    <w:rsid w:val="009525D1"/>
    <w:rsid w:val="009657D5"/>
    <w:rsid w:val="009658DB"/>
    <w:rsid w:val="00976CED"/>
    <w:rsid w:val="0097795F"/>
    <w:rsid w:val="00980786"/>
    <w:rsid w:val="009926AA"/>
    <w:rsid w:val="009A3DE9"/>
    <w:rsid w:val="009B4AB1"/>
    <w:rsid w:val="009C0081"/>
    <w:rsid w:val="009D404C"/>
    <w:rsid w:val="009E7036"/>
    <w:rsid w:val="009F6A0B"/>
    <w:rsid w:val="00A20177"/>
    <w:rsid w:val="00A30726"/>
    <w:rsid w:val="00A36734"/>
    <w:rsid w:val="00A43CA8"/>
    <w:rsid w:val="00A61AD7"/>
    <w:rsid w:val="00A768DB"/>
    <w:rsid w:val="00A77350"/>
    <w:rsid w:val="00A8662C"/>
    <w:rsid w:val="00A94B6D"/>
    <w:rsid w:val="00AA0DDF"/>
    <w:rsid w:val="00AA26DA"/>
    <w:rsid w:val="00AA3113"/>
    <w:rsid w:val="00AA3F1C"/>
    <w:rsid w:val="00AA497B"/>
    <w:rsid w:val="00AA4C54"/>
    <w:rsid w:val="00AB3331"/>
    <w:rsid w:val="00AC0A45"/>
    <w:rsid w:val="00AC4663"/>
    <w:rsid w:val="00AC6454"/>
    <w:rsid w:val="00AC768F"/>
    <w:rsid w:val="00AE126E"/>
    <w:rsid w:val="00AE131F"/>
    <w:rsid w:val="00AE59B6"/>
    <w:rsid w:val="00AF2B70"/>
    <w:rsid w:val="00AF3553"/>
    <w:rsid w:val="00AF47D9"/>
    <w:rsid w:val="00AF52CA"/>
    <w:rsid w:val="00AF5BF6"/>
    <w:rsid w:val="00B21710"/>
    <w:rsid w:val="00B21FBB"/>
    <w:rsid w:val="00B27477"/>
    <w:rsid w:val="00B318F9"/>
    <w:rsid w:val="00B32F69"/>
    <w:rsid w:val="00B341A3"/>
    <w:rsid w:val="00B378BF"/>
    <w:rsid w:val="00B473B9"/>
    <w:rsid w:val="00B51818"/>
    <w:rsid w:val="00B51F95"/>
    <w:rsid w:val="00B63430"/>
    <w:rsid w:val="00B66358"/>
    <w:rsid w:val="00B674EB"/>
    <w:rsid w:val="00B7197C"/>
    <w:rsid w:val="00B72CAE"/>
    <w:rsid w:val="00B736D3"/>
    <w:rsid w:val="00B74286"/>
    <w:rsid w:val="00B75345"/>
    <w:rsid w:val="00B7541E"/>
    <w:rsid w:val="00B8446E"/>
    <w:rsid w:val="00B84FD1"/>
    <w:rsid w:val="00B85896"/>
    <w:rsid w:val="00B878F2"/>
    <w:rsid w:val="00B91935"/>
    <w:rsid w:val="00BA0BBB"/>
    <w:rsid w:val="00BB01BE"/>
    <w:rsid w:val="00BB43BC"/>
    <w:rsid w:val="00BD05F4"/>
    <w:rsid w:val="00BE0581"/>
    <w:rsid w:val="00BE0E41"/>
    <w:rsid w:val="00BF1154"/>
    <w:rsid w:val="00BF4CF2"/>
    <w:rsid w:val="00BF4F6F"/>
    <w:rsid w:val="00C25E5E"/>
    <w:rsid w:val="00C37F08"/>
    <w:rsid w:val="00C42C94"/>
    <w:rsid w:val="00C47BFA"/>
    <w:rsid w:val="00C570C0"/>
    <w:rsid w:val="00C82D68"/>
    <w:rsid w:val="00C8342B"/>
    <w:rsid w:val="00C877E3"/>
    <w:rsid w:val="00CA30E2"/>
    <w:rsid w:val="00CA79A1"/>
    <w:rsid w:val="00CD1B5C"/>
    <w:rsid w:val="00CD5BFF"/>
    <w:rsid w:val="00CE45EF"/>
    <w:rsid w:val="00CF0EB9"/>
    <w:rsid w:val="00D0451D"/>
    <w:rsid w:val="00D11D5B"/>
    <w:rsid w:val="00D14837"/>
    <w:rsid w:val="00D1492D"/>
    <w:rsid w:val="00D203CC"/>
    <w:rsid w:val="00D22E83"/>
    <w:rsid w:val="00D2334D"/>
    <w:rsid w:val="00D24A2F"/>
    <w:rsid w:val="00D27A13"/>
    <w:rsid w:val="00D3698F"/>
    <w:rsid w:val="00D415EC"/>
    <w:rsid w:val="00D42353"/>
    <w:rsid w:val="00D559BA"/>
    <w:rsid w:val="00D619DC"/>
    <w:rsid w:val="00D6439C"/>
    <w:rsid w:val="00D929D5"/>
    <w:rsid w:val="00D9430F"/>
    <w:rsid w:val="00D97890"/>
    <w:rsid w:val="00DA17B2"/>
    <w:rsid w:val="00DA184A"/>
    <w:rsid w:val="00DA27CE"/>
    <w:rsid w:val="00DA5160"/>
    <w:rsid w:val="00DC7380"/>
    <w:rsid w:val="00DD6194"/>
    <w:rsid w:val="00DD6589"/>
    <w:rsid w:val="00DE5171"/>
    <w:rsid w:val="00DE60B7"/>
    <w:rsid w:val="00DE7868"/>
    <w:rsid w:val="00DF1B64"/>
    <w:rsid w:val="00DF61B9"/>
    <w:rsid w:val="00DF6F47"/>
    <w:rsid w:val="00E0462D"/>
    <w:rsid w:val="00E10BD2"/>
    <w:rsid w:val="00E12E1A"/>
    <w:rsid w:val="00E13C7D"/>
    <w:rsid w:val="00E33451"/>
    <w:rsid w:val="00E360E7"/>
    <w:rsid w:val="00E4240E"/>
    <w:rsid w:val="00E4308A"/>
    <w:rsid w:val="00E540A3"/>
    <w:rsid w:val="00E548A6"/>
    <w:rsid w:val="00E85310"/>
    <w:rsid w:val="00E86487"/>
    <w:rsid w:val="00E93539"/>
    <w:rsid w:val="00EA50E2"/>
    <w:rsid w:val="00EB455B"/>
    <w:rsid w:val="00EB4B5E"/>
    <w:rsid w:val="00EB6DC6"/>
    <w:rsid w:val="00EC0087"/>
    <w:rsid w:val="00EC1220"/>
    <w:rsid w:val="00EC587E"/>
    <w:rsid w:val="00EC704B"/>
    <w:rsid w:val="00ED5959"/>
    <w:rsid w:val="00F024B4"/>
    <w:rsid w:val="00F12378"/>
    <w:rsid w:val="00F1338B"/>
    <w:rsid w:val="00F13B22"/>
    <w:rsid w:val="00F14879"/>
    <w:rsid w:val="00F169F4"/>
    <w:rsid w:val="00F23CFA"/>
    <w:rsid w:val="00F40D41"/>
    <w:rsid w:val="00F45903"/>
    <w:rsid w:val="00F511C0"/>
    <w:rsid w:val="00F51E13"/>
    <w:rsid w:val="00F54052"/>
    <w:rsid w:val="00F54A6D"/>
    <w:rsid w:val="00F54F1C"/>
    <w:rsid w:val="00F622F4"/>
    <w:rsid w:val="00F82A9D"/>
    <w:rsid w:val="00F86A34"/>
    <w:rsid w:val="00FD6E73"/>
    <w:rsid w:val="00FE6A7D"/>
    <w:rsid w:val="00FF3EFA"/>
    <w:rsid w:val="00FF7117"/>
    <w:rsid w:val="00FF7BBF"/>
    <w:rsid w:val="04015EFC"/>
    <w:rsid w:val="07ED0B0D"/>
    <w:rsid w:val="08622127"/>
    <w:rsid w:val="0C7D683C"/>
    <w:rsid w:val="0D2832FB"/>
    <w:rsid w:val="0D7363BA"/>
    <w:rsid w:val="0DA65AD1"/>
    <w:rsid w:val="0F685D79"/>
    <w:rsid w:val="10F8239F"/>
    <w:rsid w:val="11166B7B"/>
    <w:rsid w:val="118626A6"/>
    <w:rsid w:val="1708030E"/>
    <w:rsid w:val="18C64AC2"/>
    <w:rsid w:val="1B2C30CA"/>
    <w:rsid w:val="1E25500F"/>
    <w:rsid w:val="212C19EB"/>
    <w:rsid w:val="213429CD"/>
    <w:rsid w:val="253C34CB"/>
    <w:rsid w:val="267C2231"/>
    <w:rsid w:val="26BE44A3"/>
    <w:rsid w:val="27EB5115"/>
    <w:rsid w:val="2A206D2E"/>
    <w:rsid w:val="2F257340"/>
    <w:rsid w:val="2F2C5581"/>
    <w:rsid w:val="30C1085F"/>
    <w:rsid w:val="336B4ACB"/>
    <w:rsid w:val="352D1348"/>
    <w:rsid w:val="37657C5C"/>
    <w:rsid w:val="3B80633C"/>
    <w:rsid w:val="3EB33C6C"/>
    <w:rsid w:val="44DB0166"/>
    <w:rsid w:val="487216E8"/>
    <w:rsid w:val="54722618"/>
    <w:rsid w:val="55CC034F"/>
    <w:rsid w:val="560A0512"/>
    <w:rsid w:val="57603935"/>
    <w:rsid w:val="582B34AD"/>
    <w:rsid w:val="59AB14F6"/>
    <w:rsid w:val="5A65702B"/>
    <w:rsid w:val="5B9E762E"/>
    <w:rsid w:val="5FCB69F2"/>
    <w:rsid w:val="61C947AF"/>
    <w:rsid w:val="640578F6"/>
    <w:rsid w:val="66502A75"/>
    <w:rsid w:val="68AD08CA"/>
    <w:rsid w:val="698F43FD"/>
    <w:rsid w:val="6BE773E0"/>
    <w:rsid w:val="6F94661F"/>
    <w:rsid w:val="72180305"/>
    <w:rsid w:val="74095A15"/>
    <w:rsid w:val="770962DF"/>
    <w:rsid w:val="7BA70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style>
  <w:style w:type="paragraph" w:styleId="4">
    <w:name w:val="Body Text"/>
    <w:basedOn w:val="1"/>
    <w:unhideWhenUsed/>
    <w:qFormat/>
    <w:uiPriority w:val="1"/>
    <w:rPr>
      <w:rFonts w:hint="eastAsia" w:ascii="仿宋" w:eastAsia="仿宋"/>
      <w:sz w:val="32"/>
    </w:rPr>
  </w:style>
  <w:style w:type="paragraph" w:styleId="5">
    <w:name w:val="Body Text Indent"/>
    <w:basedOn w:val="1"/>
    <w:qFormat/>
    <w:uiPriority w:val="0"/>
    <w:pPr>
      <w:tabs>
        <w:tab w:val="left" w:pos="945"/>
        <w:tab w:val="left" w:pos="1155"/>
      </w:tabs>
      <w:adjustRightInd/>
      <w:spacing w:line="420" w:lineRule="exact"/>
      <w:ind w:firstLine="630"/>
      <w:jc w:val="both"/>
      <w:textAlignment w:val="auto"/>
    </w:pPr>
    <w:rPr>
      <w:kern w:val="2"/>
      <w:sz w:val="28"/>
    </w:rPr>
  </w:style>
  <w:style w:type="paragraph" w:styleId="6">
    <w:name w:val="Plain Text"/>
    <w:basedOn w:val="1"/>
    <w:qFormat/>
    <w:uiPriority w:val="0"/>
    <w:pPr>
      <w:adjustRightInd/>
      <w:spacing w:line="240" w:lineRule="auto"/>
      <w:jc w:val="both"/>
      <w:textAlignment w:val="auto"/>
    </w:pPr>
    <w:rPr>
      <w:rFonts w:ascii="宋体" w:hAnsi="Courier New"/>
      <w:kern w:val="2"/>
      <w:sz w:val="21"/>
    </w:rPr>
  </w:style>
  <w:style w:type="paragraph" w:styleId="7">
    <w:name w:val="Date"/>
    <w:basedOn w:val="1"/>
    <w:next w:val="1"/>
    <w:qFormat/>
    <w:uiPriority w:val="0"/>
    <w:pPr>
      <w:widowControl/>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pacing w:line="240" w:lineRule="atLeast"/>
    </w:pPr>
    <w:rPr>
      <w:sz w:val="18"/>
    </w:rPr>
  </w:style>
  <w:style w:type="paragraph" w:styleId="10">
    <w:name w:val="header"/>
    <w:basedOn w:val="1"/>
    <w:qFormat/>
    <w:uiPriority w:val="0"/>
    <w:pPr>
      <w:pBdr>
        <w:bottom w:val="single" w:color="auto" w:sz="6" w:space="1"/>
      </w:pBdr>
      <w:tabs>
        <w:tab w:val="center" w:pos="4153"/>
        <w:tab w:val="right" w:pos="8306"/>
      </w:tabs>
      <w:spacing w:line="240" w:lineRule="atLeast"/>
      <w:jc w:val="center"/>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qFormat/>
    <w:uiPriority w:val="0"/>
    <w:rPr>
      <w:color w:val="0000FF"/>
      <w:u w:val="single"/>
    </w:rPr>
  </w:style>
  <w:style w:type="paragraph" w:customStyle="1" w:styleId="16">
    <w:name w:val="Char"/>
    <w:basedOn w:val="1"/>
    <w:qFormat/>
    <w:uiPriority w:val="0"/>
    <w:pPr>
      <w:widowControl/>
      <w:adjustRightInd/>
      <w:spacing w:after="160" w:line="240" w:lineRule="exact"/>
      <w:textAlignment w:val="auto"/>
    </w:pPr>
    <w:rPr>
      <w:rFonts w:ascii="Verdana" w:hAnsi="Verdana"/>
      <w:sz w:val="18"/>
      <w:lang w:eastAsia="en-US"/>
    </w:rPr>
  </w:style>
  <w:style w:type="paragraph" w:customStyle="1" w:styleId="17">
    <w:name w:val="邮费 - 优雅型"/>
    <w:basedOn w:val="1"/>
    <w:qFormat/>
    <w:uiPriority w:val="0"/>
    <w:pPr>
      <w:widowControl/>
      <w:adjustRightInd/>
      <w:spacing w:after="40" w:line="240" w:lineRule="exact"/>
      <w:jc w:val="center"/>
      <w:textAlignment w:val="auto"/>
    </w:pPr>
    <w:rPr>
      <w:rFonts w:ascii="Garamond" w:hAnsi="Garamond" w:eastAsia="Times New Roman"/>
      <w:smallCaps/>
      <w:sz w:val="1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968</Words>
  <Characters>5519</Characters>
  <Lines>45</Lines>
  <Paragraphs>12</Paragraphs>
  <TotalTime>0</TotalTime>
  <ScaleCrop>false</ScaleCrop>
  <LinksUpToDate>false</LinksUpToDate>
  <CharactersWithSpaces>6475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2020-10-26T05:45:00Z</dcterms:created>
  <dc:creator>sh</dc:creator>
  <cp:lastModifiedBy>HUA</cp:lastModifiedBy>
  <cp:lastPrinted>2018-04-28T07:10:00Z</cp:lastPrinted>
  <dcterms:modified xsi:type="dcterms:W3CDTF">2023-08-24T07:56:05Z</dcterms:modified>
  <dc:title>1.1  简介</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81DF01C83287435E9F5B9E5C8023EDA3_13</vt:lpwstr>
  </property>
</Properties>
</file>