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bookmarkStart w:id="0" w:name="_GoBack"/>
      <w:bookmarkEnd w:id="0"/>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评审参考要点</w:t>
      </w:r>
    </w:p>
    <w:tbl>
      <w:tblPr>
        <w:tblStyle w:val="2"/>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875"/>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tcBorders>
              <w:bottom w:val="single" w:color="auto" w:sz="4" w:space="0"/>
              <w:tl2br w:val="nil"/>
              <w:tr2bl w:val="nil"/>
            </w:tcBorders>
            <w:shd w:val="clear" w:color="000000" w:fill="C0C0C0"/>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一级指标</w:t>
            </w:r>
          </w:p>
        </w:tc>
        <w:tc>
          <w:tcPr>
            <w:tcW w:w="1875" w:type="dxa"/>
            <w:tcBorders>
              <w:bottom w:val="single" w:color="auto" w:sz="4" w:space="0"/>
              <w:tl2br w:val="nil"/>
              <w:tr2bl w:val="nil"/>
            </w:tcBorders>
            <w:shd w:val="clear" w:color="000000" w:fill="C0C0C0"/>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二级指标</w:t>
            </w:r>
          </w:p>
        </w:tc>
        <w:tc>
          <w:tcPr>
            <w:tcW w:w="5516" w:type="dxa"/>
            <w:tcBorders>
              <w:bottom w:val="single" w:color="auto" w:sz="4" w:space="0"/>
              <w:tl2br w:val="nil"/>
              <w:tr2bl w:val="nil"/>
            </w:tcBorders>
            <w:shd w:val="clear" w:color="000000" w:fill="C0C0C0"/>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考察要点（包括但不限于）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restart"/>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一、创造能力</w:t>
            </w:r>
          </w:p>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（15分）</w:t>
            </w: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1.质量控制</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专利申请前评估、服务机构遴选、专利质量内部控制等机制建设与实施情况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continue"/>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2.专利导航</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专利导航决策机制建设与专利导航项目实施等情况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continue"/>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3.培育布局</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专利（组合）、商标品牌等挖掘、培育、布局工作开展情况及成效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restart"/>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二、运用绩效</w:t>
            </w:r>
          </w:p>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（25分）</w:t>
            </w: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4.自主实施</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企业主营业务产品（服务）所包含的专利（商标、著作权）及其贡献度情况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continue"/>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5.转化增效</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知识产权许可、转让、质押融资、作价入股等情况及取得效益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continue"/>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6.运营活动</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参与建设专利运营中心、专利池、运营基金等情况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restart"/>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三、保护效能</w:t>
            </w:r>
          </w:p>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（15分）</w:t>
            </w: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7.机制建设</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知识产权流失和侵权防范、知识产权尽职调查、技术秘密保护、知识产权风险防控、纠纷应对等相关制度建设及实践情况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continue"/>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8.维权行动</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通过知识产权诉讼、无效、行政裁决、调解等方式维护企业权益的情况；其他主动维权或侵权防御等情况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restart"/>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四、管理水平</w:t>
            </w:r>
          </w:p>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（20分）</w:t>
            </w: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9.组织领导</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企业知识产权战略规划编制情况；知识产权相关机构人员设置、决策体系建设、部门协作、人才培养等相关情况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vMerge w:val="continue"/>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10.管理运行</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知识产权管理标准化、数字化建设水平；知识产权分级分类管理、合规管理、知识产权激励与约束等制度机制建设与实施情况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tcBorders>
              <w:tl2br w:val="nil"/>
              <w:tr2bl w:val="nil"/>
            </w:tcBorders>
            <w:shd w:val="clear" w:color="000000"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五、地方工作</w:t>
            </w:r>
          </w:p>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（25分）</w:t>
            </w:r>
          </w:p>
        </w:tc>
        <w:tc>
          <w:tcPr>
            <w:tcW w:w="1875" w:type="dxa"/>
            <w:tcBorders>
              <w:tl2br w:val="nil"/>
              <w:tr2bl w:val="nil"/>
            </w:tcBorders>
            <w:shd w:val="clear" w:color="000000" w:fill="auto"/>
            <w:vAlign w:val="center"/>
          </w:tcPr>
          <w:p>
            <w:pPr>
              <w:widowControl/>
              <w:spacing w:line="3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11.特色亮点</w:t>
            </w:r>
          </w:p>
        </w:tc>
        <w:tc>
          <w:tcPr>
            <w:tcW w:w="5516" w:type="dxa"/>
            <w:tcBorders>
              <w:tl2br w:val="nil"/>
              <w:tr2bl w:val="nil"/>
            </w:tcBorders>
            <w:shd w:val="clear" w:color="000000" w:fill="auto"/>
            <w:vAlign w:val="center"/>
          </w:tcPr>
          <w:p>
            <w:pPr>
              <w:widowControl/>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企业根据自身发展需求及落实地方知识产工作部署开展的特色亮点工作、成效、案例等，具体考察内容和评价标准，由地方知识产权局自行确定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8" w:type="dxa"/>
            <w:tcBorders>
              <w:tl2br w:val="nil"/>
              <w:tr2bl w:val="nil"/>
            </w:tcBorders>
            <w:shd w:val="clear" w:color="000000" w:fill="auto"/>
            <w:vAlign w:val="center"/>
          </w:tcPr>
          <w:p>
            <w:pPr>
              <w:widowControl/>
              <w:spacing w:line="380" w:lineRule="exact"/>
              <w:jc w:val="center"/>
              <w:rPr>
                <w:rFonts w:hint="eastAsia" w:ascii="黑体" w:hAnsi="黑体" w:eastAsia="黑体" w:cs="宋体"/>
                <w:color w:val="000000"/>
                <w:kern w:val="0"/>
                <w:sz w:val="28"/>
                <w:szCs w:val="28"/>
                <w:lang w:eastAsia="zh-CN"/>
              </w:rPr>
            </w:pPr>
            <w:r>
              <w:rPr>
                <w:rFonts w:hint="eastAsia" w:ascii="黑体" w:hAnsi="黑体" w:eastAsia="黑体" w:cs="宋体"/>
                <w:color w:val="000000"/>
                <w:kern w:val="0"/>
                <w:sz w:val="28"/>
                <w:szCs w:val="28"/>
                <w:lang w:eastAsia="zh-CN"/>
              </w:rPr>
              <w:t>六</w:t>
            </w:r>
            <w:r>
              <w:rPr>
                <w:rFonts w:hint="eastAsia" w:ascii="黑体" w:hAnsi="黑体" w:eastAsia="黑体" w:cs="宋体"/>
                <w:color w:val="000000"/>
                <w:kern w:val="0"/>
                <w:sz w:val="28"/>
                <w:szCs w:val="28"/>
              </w:rPr>
              <w:t>、</w:t>
            </w:r>
            <w:r>
              <w:rPr>
                <w:rFonts w:hint="eastAsia" w:ascii="黑体" w:hAnsi="黑体" w:eastAsia="黑体" w:cs="宋体"/>
                <w:color w:val="000000"/>
                <w:kern w:val="0"/>
                <w:sz w:val="28"/>
                <w:szCs w:val="28"/>
                <w:lang w:eastAsia="zh-CN"/>
              </w:rPr>
              <w:t>加分项</w:t>
            </w:r>
          </w:p>
          <w:p>
            <w:pPr>
              <w:widowControl/>
              <w:spacing w:line="38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（25分）</w:t>
            </w:r>
          </w:p>
        </w:tc>
        <w:tc>
          <w:tcPr>
            <w:tcW w:w="1875" w:type="dxa"/>
            <w:tcBorders>
              <w:tl2br w:val="nil"/>
              <w:tr2bl w:val="nil"/>
            </w:tcBorders>
            <w:shd w:val="clear" w:color="000000" w:fill="auto"/>
            <w:vAlign w:val="center"/>
          </w:tcPr>
          <w:p>
            <w:pPr>
              <w:widowControl/>
              <w:spacing w:line="38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12.专项任务</w:t>
            </w:r>
          </w:p>
        </w:tc>
        <w:tc>
          <w:tcPr>
            <w:tcW w:w="5516" w:type="dxa"/>
            <w:tcBorders>
              <w:tl2br w:val="nil"/>
              <w:tr2bl w:val="nil"/>
            </w:tcBorders>
            <w:shd w:val="clear" w:color="000000" w:fill="auto"/>
            <w:vAlign w:val="center"/>
          </w:tcPr>
          <w:p>
            <w:pPr>
              <w:widowControl/>
              <w:spacing w:line="380" w:lineRule="exact"/>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企业开展专利密集型产品备案、千企百城等专项工作情况</w:t>
            </w:r>
          </w:p>
        </w:tc>
      </w:tr>
    </w:tbl>
    <w:p>
      <w:pPr>
        <w:widowControl/>
        <w:spacing w:line="380" w:lineRule="exact"/>
        <w:jc w:val="left"/>
      </w:pPr>
      <w:r>
        <w:rPr>
          <w:rFonts w:hint="eastAsia" w:ascii="仿宋_GB2312" w:hAnsi="宋体" w:eastAsia="仿宋_GB2312" w:cs="宋体"/>
          <w:color w:val="000000"/>
          <w:kern w:val="0"/>
          <w:sz w:val="28"/>
          <w:szCs w:val="28"/>
        </w:rPr>
        <w:t>注：</w:t>
      </w:r>
      <w:r>
        <w:rPr>
          <w:rFonts w:hint="eastAsia" w:ascii="仿宋_GB2312" w:hAnsi="宋体" w:eastAsia="仿宋_GB2312" w:cs="宋体"/>
          <w:color w:val="000000"/>
          <w:kern w:val="0"/>
          <w:sz w:val="28"/>
          <w:szCs w:val="28"/>
          <w:lang w:eastAsia="zh-CN"/>
        </w:rPr>
        <w:t>各地市</w:t>
      </w:r>
      <w:r>
        <w:rPr>
          <w:rFonts w:hint="eastAsia" w:ascii="仿宋_GB2312" w:hAnsi="宋体" w:eastAsia="仿宋_GB2312" w:cs="宋体"/>
          <w:color w:val="000000"/>
          <w:kern w:val="0"/>
          <w:sz w:val="28"/>
          <w:szCs w:val="28"/>
        </w:rPr>
        <w:t>局可参考本要点，结合工作实际，对本</w:t>
      </w:r>
      <w:r>
        <w:rPr>
          <w:rFonts w:hint="eastAsia" w:ascii="仿宋_GB2312" w:hAnsi="宋体" w:eastAsia="仿宋_GB2312" w:cs="宋体"/>
          <w:color w:val="000000"/>
          <w:kern w:val="0"/>
          <w:sz w:val="28"/>
          <w:szCs w:val="28"/>
          <w:lang w:eastAsia="zh-CN"/>
        </w:rPr>
        <w:t>辖区内</w:t>
      </w:r>
      <w:r>
        <w:rPr>
          <w:rFonts w:hint="eastAsia" w:ascii="仿宋_GB2312" w:hAnsi="宋体" w:eastAsia="仿宋_GB2312" w:cs="宋体"/>
          <w:color w:val="000000"/>
          <w:kern w:val="0"/>
          <w:sz w:val="28"/>
          <w:szCs w:val="28"/>
        </w:rPr>
        <w:t>示范优势企业评审标准和要求进一步细化。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ZjhkYWMyMzdmYTQxYWYwOTI2YjgyNDg0MTRjYmUifQ=="/>
  </w:docVars>
  <w:rsids>
    <w:rsidRoot w:val="6662750C"/>
    <w:rsid w:val="431E4265"/>
    <w:rsid w:val="66627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648</Words>
  <Characters>669</Characters>
  <Lines>0</Lines>
  <Paragraphs>0</Paragraphs>
  <TotalTime>0</TotalTime>
  <ScaleCrop>false</ScaleCrop>
  <LinksUpToDate>false</LinksUpToDate>
  <CharactersWithSpaces>669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2023-09-22T09:46:00Z</dcterms:created>
  <dc:creator>斯斯</dc:creator>
  <cp:lastModifiedBy>林莉丽</cp:lastModifiedBy>
  <dcterms:modified xsi:type="dcterms:W3CDTF">2023-09-26T08:17:44Z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3E8BEE40B18249C9952FE8F9BDA4061D_11</vt:lpwstr>
  </property>
</Properties>
</file>