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3"/>
        <w:numPr>
          <w:ilvl w:val="0"/>
          <w:numId w:val="0"/>
        </w:numPr>
        <w:ind w:leftChars="0"/>
        <w:rPr>
          <w:rFonts w:hint="eastAsia"/>
        </w:rPr>
      </w:pPr>
    </w:p>
    <w:p>
      <w:pPr>
        <w:spacing w:line="6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2023年省市场监督管理局下放东莞市专项资金知识产权保护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体系建设</w:t>
      </w:r>
      <w:r>
        <w:rPr>
          <w:rFonts w:hint="eastAsia" w:ascii="方正小标宋简体" w:eastAsia="方正小标宋简体"/>
          <w:sz w:val="44"/>
          <w:szCs w:val="44"/>
        </w:rPr>
        <w:t>类项目</w:t>
      </w:r>
    </w:p>
    <w:p>
      <w:pPr>
        <w:spacing w:line="6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立项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资助资金</w:t>
      </w:r>
      <w:r>
        <w:rPr>
          <w:rFonts w:hint="eastAsia" w:ascii="方正小标宋简体" w:eastAsia="方正小标宋简体"/>
          <w:sz w:val="44"/>
          <w:szCs w:val="44"/>
        </w:rPr>
        <w:t>拨付清单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5"/>
        <w:tblW w:w="10430" w:type="dxa"/>
        <w:tblInd w:w="-9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3550"/>
        <w:gridCol w:w="2930"/>
        <w:gridCol w:w="1570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项目承担单位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资助金额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(万元)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海外知识产权能力提升公共项目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北京国威知识产权鉴定评估中心有限责任公司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suff w:val="nothing"/>
      <w:lvlText w:val=""/>
      <w:lvlJc w:val="left"/>
    </w:lvl>
    <w:lvl w:ilvl="1" w:tentative="0">
      <w:start w:val="0"/>
      <w:numFmt w:val="decimal"/>
      <w:pStyle w:val="2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abstractNum w:abstractNumId="1">
    <w:nsid w:val="7D434B06"/>
    <w:multiLevelType w:val="multilevel"/>
    <w:tmpl w:val="7D434B06"/>
    <w:lvl w:ilvl="0" w:tentative="0">
      <w:start w:val="1"/>
      <w:numFmt w:val="ideographDigital"/>
      <w:pStyle w:val="3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20934"/>
    <w:rsid w:val="2452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/>
      <w:numPr>
        <w:ilvl w:val="1"/>
        <w:numId w:val="2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Cs w:val="20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2023-11-03T02:35:00Z</dcterms:created>
  <dc:creator>谢志庆</dc:creator>
  <cp:lastModifiedBy>谢志庆</cp:lastModifiedBy>
  <dcterms:modified xsi:type="dcterms:W3CDTF">2023-11-03T02:35:57Z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