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1-4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东莞市医药行业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医疗器械专业工程系列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初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次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职称考核认定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中专层次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参考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目录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征求意见稿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）</w:t>
      </w:r>
    </w:p>
    <w:tbl>
      <w:tblPr>
        <w:tblStyle w:val="4"/>
        <w:tblW w:w="827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000000"/>
                <w:kern w:val="0"/>
                <w:sz w:val="28"/>
                <w:szCs w:val="28"/>
                <w:lang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4"/>
                <w:lang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4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36979773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zNzczMmYzNWM4NTAzNDdmMDg1YjllZDE4MzI3YzIifQ=="/>
  </w:docVars>
  <w:rsids>
    <w:rsidRoot w:val="629D061C"/>
    <w:rsid w:val="0002426E"/>
    <w:rsid w:val="001F5EF2"/>
    <w:rsid w:val="00254BF9"/>
    <w:rsid w:val="00295F4F"/>
    <w:rsid w:val="00350577"/>
    <w:rsid w:val="005F46FC"/>
    <w:rsid w:val="00633145"/>
    <w:rsid w:val="00C06A8A"/>
    <w:rsid w:val="00D13635"/>
    <w:rsid w:val="00F90B1B"/>
    <w:rsid w:val="028F1055"/>
    <w:rsid w:val="0DCC6E63"/>
    <w:rsid w:val="14661ABB"/>
    <w:rsid w:val="165029BB"/>
    <w:rsid w:val="21C574CA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0CD139F"/>
    <w:rsid w:val="629D061C"/>
    <w:rsid w:val="63D21572"/>
    <w:rsid w:val="6A7509F0"/>
    <w:rsid w:val="6B91129A"/>
    <w:rsid w:val="6C3B7B76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30</Pages>
  <Words>1301</Words>
  <Characters>7418</Characters>
  <Lines>61</Lines>
  <Paragraphs>17</Paragraphs>
  <TotalTime>0</TotalTime>
  <ScaleCrop>false</ScaleCrop>
  <LinksUpToDate>false</LinksUpToDate>
  <CharactersWithSpaces>8702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赖恬</cp:lastModifiedBy>
  <cp:lastPrinted>2021-03-15T07:55:00Z</cp:lastPrinted>
  <dcterms:modified xsi:type="dcterms:W3CDTF">2023-12-06T02:34:54Z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2077A7E3DC154671AA43BDAD5D407906_13</vt:lpwstr>
  </property>
</Properties>
</file>