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left="0" w:leftChars="0" w:hanging="4" w:firstLineChars="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附件3-2</w:t>
      </w:r>
    </w:p>
    <w:p>
      <w:pPr>
        <w:keepNext w:val="0"/>
        <w:keepLines w:val="0"/>
        <w:pageBreakBefore w:val="0"/>
        <w:widowControl w:val="0"/>
        <w:kinsoku/>
        <w:wordWrap/>
        <w:overflowPunct/>
        <w:topLinePunct w:val="0"/>
        <w:autoSpaceDE/>
        <w:autoSpaceDN/>
        <w:bidi w:val="0"/>
        <w:adjustRightInd/>
        <w:snapToGrid/>
        <w:spacing w:line="580" w:lineRule="exact"/>
        <w:ind w:left="0" w:leftChars="0" w:hanging="4" w:firstLineChars="0"/>
        <w:jc w:val="center"/>
        <w:textAlignment w:val="auto"/>
        <w:rPr>
          <w:rFonts w:hint="eastAsia" w:ascii="方正小标宋_GBK" w:hAnsi="方正小标宋_GBK" w:eastAsia="方正小标宋_GBK" w:cs="方正小标宋_GBK"/>
          <w:sz w:val="36"/>
          <w:szCs w:val="36"/>
          <w:lang w:eastAsia="zh-CN"/>
        </w:rPr>
      </w:pPr>
      <w:r>
        <w:rPr>
          <w:rFonts w:hint="eastAsia" w:ascii="方正小标宋_GBK" w:hAnsi="方正小标宋_GBK" w:eastAsia="方正小标宋_GBK" w:cs="方正小标宋_GBK"/>
          <w:sz w:val="36"/>
          <w:szCs w:val="36"/>
        </w:rPr>
        <w:t>东莞市医药行业</w:t>
      </w:r>
      <w:r>
        <w:rPr>
          <w:rFonts w:hint="eastAsia" w:ascii="方正小标宋_GBK" w:hAnsi="方正小标宋_GBK" w:eastAsia="方正小标宋_GBK" w:cs="方正小标宋_GBK"/>
          <w:sz w:val="36"/>
          <w:szCs w:val="36"/>
          <w:lang w:eastAsia="zh-CN"/>
        </w:rPr>
        <w:t>制药专业工程系列</w:t>
      </w:r>
      <w:r>
        <w:rPr>
          <w:rFonts w:hint="eastAsia" w:ascii="方正小标宋_GBK" w:hAnsi="方正小标宋_GBK" w:eastAsia="方正小标宋_GBK" w:cs="方正小标宋_GBK"/>
          <w:sz w:val="36"/>
          <w:szCs w:val="36"/>
        </w:rPr>
        <w:t>初</w:t>
      </w:r>
      <w:r>
        <w:rPr>
          <w:rFonts w:hint="eastAsia" w:ascii="方正小标宋_GBK" w:hAnsi="方正小标宋_GBK" w:eastAsia="方正小标宋_GBK" w:cs="方正小标宋_GBK"/>
          <w:sz w:val="36"/>
          <w:szCs w:val="36"/>
          <w:lang w:eastAsia="zh-CN"/>
        </w:rPr>
        <w:t>次</w:t>
      </w:r>
      <w:r>
        <w:rPr>
          <w:rFonts w:hint="eastAsia" w:ascii="方正小标宋_GBK" w:hAnsi="方正小标宋_GBK" w:eastAsia="方正小标宋_GBK" w:cs="方正小标宋_GBK"/>
          <w:sz w:val="36"/>
          <w:szCs w:val="36"/>
        </w:rPr>
        <w:t>职称考核认定</w:t>
      </w:r>
      <w:r>
        <w:rPr>
          <w:rFonts w:hint="eastAsia" w:ascii="方正小标宋_GBK" w:hAnsi="方正小标宋_GBK" w:eastAsia="方正小标宋_GBK" w:cs="方正小标宋_GBK"/>
          <w:sz w:val="36"/>
          <w:szCs w:val="36"/>
          <w:lang w:eastAsia="zh-CN"/>
        </w:rPr>
        <w:t>中专层次</w:t>
      </w:r>
      <w:r>
        <w:rPr>
          <w:rFonts w:hint="eastAsia" w:ascii="方正小标宋_GBK" w:hAnsi="方正小标宋_GBK" w:eastAsia="方正小标宋_GBK" w:cs="方正小标宋_GBK"/>
          <w:sz w:val="36"/>
          <w:szCs w:val="36"/>
        </w:rPr>
        <w:t>专业</w:t>
      </w:r>
      <w:r>
        <w:rPr>
          <w:rFonts w:hint="eastAsia" w:ascii="方正小标宋_GBK" w:hAnsi="方正小标宋_GBK" w:eastAsia="方正小标宋_GBK" w:cs="方正小标宋_GBK"/>
          <w:sz w:val="36"/>
          <w:szCs w:val="36"/>
          <w:lang w:eastAsia="zh-CN"/>
        </w:rPr>
        <w:t>参考</w:t>
      </w:r>
      <w:r>
        <w:rPr>
          <w:rFonts w:hint="eastAsia" w:ascii="方正小标宋_GBK" w:hAnsi="方正小标宋_GBK" w:eastAsia="方正小标宋_GBK" w:cs="方正小标宋_GBK"/>
          <w:sz w:val="36"/>
          <w:szCs w:val="36"/>
        </w:rPr>
        <w:t>目录</w:t>
      </w:r>
    </w:p>
    <w:tbl>
      <w:tblPr>
        <w:tblStyle w:val="2"/>
        <w:tblW w:w="8275" w:type="dxa"/>
        <w:tblInd w:w="0" w:type="dxa"/>
        <w:tblLayout w:type="autofit"/>
        <w:tblCellMar>
          <w:top w:w="0" w:type="dxa"/>
          <w:left w:w="0" w:type="dxa"/>
          <w:bottom w:w="0" w:type="dxa"/>
          <w:right w:w="0" w:type="dxa"/>
        </w:tblCellMar>
      </w:tblPr>
      <w:tblGrid>
        <w:gridCol w:w="1165"/>
        <w:gridCol w:w="2100"/>
        <w:gridCol w:w="5010"/>
      </w:tblGrid>
      <w:tr>
        <w:tblPrEx>
          <w:tblCellMar>
            <w:top w:w="0" w:type="dxa"/>
            <w:left w:w="0" w:type="dxa"/>
            <w:bottom w:w="0" w:type="dxa"/>
            <w:right w:w="0" w:type="dxa"/>
          </w:tblCellMar>
        </w:tblPrEx>
        <w:trPr>
          <w:cantSplit/>
          <w:trHeight w:val="443" w:hRule="atLeast"/>
          <w:tblHeader/>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黑体" w:hAnsi="黑体" w:eastAsia="黑体" w:cs="黑体"/>
                <w:b/>
                <w:color w:val="auto"/>
                <w:sz w:val="24"/>
                <w:highlight w:val="none"/>
              </w:rPr>
            </w:pPr>
            <w:r>
              <w:rPr>
                <w:rFonts w:hint="eastAsia" w:ascii="黑体" w:hAnsi="黑体" w:eastAsia="黑体" w:cs="黑体"/>
                <w:b/>
                <w:color w:val="auto"/>
                <w:kern w:val="0"/>
                <w:sz w:val="24"/>
                <w:highlight w:val="none"/>
                <w:lang w:bidi="ar"/>
              </w:rPr>
              <w:t>序号</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黑体" w:hAnsi="黑体" w:eastAsia="黑体" w:cs="黑体"/>
                <w:b/>
                <w:color w:val="auto"/>
                <w:sz w:val="24"/>
                <w:highlight w:val="none"/>
              </w:rPr>
            </w:pPr>
            <w:r>
              <w:rPr>
                <w:rFonts w:hint="eastAsia" w:ascii="黑体" w:hAnsi="黑体" w:eastAsia="黑体" w:cs="黑体"/>
                <w:b/>
                <w:color w:val="auto"/>
                <w:kern w:val="0"/>
                <w:sz w:val="24"/>
                <w:highlight w:val="none"/>
                <w:lang w:bidi="ar"/>
              </w:rPr>
              <w:t>专业代码</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黑体" w:hAnsi="黑体" w:eastAsia="黑体" w:cs="黑体"/>
                <w:b/>
                <w:color w:val="auto"/>
                <w:sz w:val="24"/>
                <w:highlight w:val="none"/>
              </w:rPr>
            </w:pPr>
            <w:r>
              <w:rPr>
                <w:rFonts w:hint="eastAsia" w:ascii="黑体" w:hAnsi="黑体" w:eastAsia="黑体" w:cs="黑体"/>
                <w:b/>
                <w:color w:val="auto"/>
                <w:kern w:val="0"/>
                <w:sz w:val="24"/>
                <w:highlight w:val="none"/>
                <w:lang w:bidi="ar"/>
              </w:rPr>
              <w:t>专业名称</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BFBFBF"/>
            <w:tcMar>
              <w:top w:w="8" w:type="dxa"/>
              <w:left w:w="8" w:type="dxa"/>
              <w:right w:w="8" w:type="dxa"/>
            </w:tcMar>
            <w:vAlign w:val="center"/>
          </w:tcPr>
          <w:p>
            <w:pPr>
              <w:widowControl/>
              <w:jc w:val="left"/>
              <w:textAlignment w:val="center"/>
              <w:rPr>
                <w:rFonts w:ascii="Times New Roman" w:hAnsi="Times New Roman" w:eastAsia="黑体" w:cs="黑体"/>
                <w:b/>
                <w:color w:val="auto"/>
                <w:kern w:val="0"/>
                <w:sz w:val="28"/>
                <w:szCs w:val="28"/>
                <w:highlight w:val="none"/>
                <w:lang w:bidi="ar"/>
              </w:rPr>
            </w:pPr>
            <w:r>
              <w:rPr>
                <w:rFonts w:hint="eastAsia" w:ascii="Times New Roman" w:hAnsi="Times New Roman" w:eastAsia="黑体" w:cs="黑体"/>
                <w:b/>
                <w:color w:val="auto"/>
                <w:kern w:val="0"/>
                <w:sz w:val="28"/>
                <w:szCs w:val="28"/>
                <w:highlight w:val="none"/>
                <w:lang w:bidi="ar"/>
              </w:rPr>
              <w:t>67生物与化工大类</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auto"/>
                <w:sz w:val="24"/>
                <w:highlight w:val="none"/>
              </w:rPr>
            </w:pPr>
            <w:r>
              <w:rPr>
                <w:rFonts w:hint="eastAsia" w:ascii="Times New Roman" w:hAnsi="Times New Roman" w:eastAsia="仿宋_GB2312" w:cs="仿宋_GB2312"/>
                <w:b/>
                <w:color w:val="auto"/>
                <w:kern w:val="0"/>
                <w:sz w:val="24"/>
                <w:highlight w:val="none"/>
                <w:lang w:bidi="ar"/>
              </w:rPr>
              <w:t>6701生物技术类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143</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670102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生物化工技术应用</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auto"/>
                <w:sz w:val="24"/>
                <w:highlight w:val="none"/>
              </w:rPr>
            </w:pPr>
            <w:r>
              <w:rPr>
                <w:rFonts w:hint="eastAsia" w:ascii="Times New Roman" w:hAnsi="Times New Roman" w:eastAsia="仿宋_GB2312" w:cs="仿宋_GB2312"/>
                <w:b/>
                <w:color w:val="auto"/>
                <w:kern w:val="0"/>
                <w:sz w:val="24"/>
                <w:highlight w:val="none"/>
                <w:lang w:bidi="ar"/>
              </w:rPr>
              <w:t>6702化工技术类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144</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670201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化学工艺</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145</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670202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石油炼制技术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146</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670203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精细化工技术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147</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670204</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高分子材料加工工艺</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148</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670205</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橡胶工艺</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151</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670208</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化工机械与设备</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152</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670209</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化工仪表及自动化</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BFBFBF"/>
            <w:tcMar>
              <w:top w:w="8" w:type="dxa"/>
              <w:left w:w="8" w:type="dxa"/>
              <w:right w:w="8" w:type="dxa"/>
            </w:tcMar>
            <w:vAlign w:val="center"/>
          </w:tcPr>
          <w:p>
            <w:pPr>
              <w:widowControl/>
              <w:jc w:val="left"/>
              <w:textAlignment w:val="center"/>
              <w:rPr>
                <w:rFonts w:ascii="Times New Roman" w:hAnsi="Times New Roman" w:eastAsia="黑体" w:cs="黑体"/>
                <w:b/>
                <w:color w:val="auto"/>
                <w:kern w:val="0"/>
                <w:sz w:val="28"/>
                <w:szCs w:val="28"/>
                <w:highlight w:val="none"/>
                <w:lang w:bidi="ar"/>
              </w:rPr>
            </w:pPr>
            <w:r>
              <w:rPr>
                <w:rFonts w:hint="eastAsia" w:ascii="Times New Roman" w:hAnsi="Times New Roman" w:eastAsia="黑体" w:cs="黑体"/>
                <w:b/>
                <w:color w:val="auto"/>
                <w:kern w:val="0"/>
                <w:sz w:val="28"/>
                <w:szCs w:val="28"/>
                <w:highlight w:val="none"/>
                <w:lang w:bidi="ar"/>
              </w:rPr>
              <w:t>69食品药品与粮食大类</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auto"/>
                <w:sz w:val="24"/>
                <w:highlight w:val="none"/>
              </w:rPr>
            </w:pPr>
            <w:r>
              <w:rPr>
                <w:rFonts w:hint="eastAsia" w:ascii="Times New Roman" w:hAnsi="Times New Roman" w:eastAsia="仿宋_GB2312" w:cs="仿宋_GB2312"/>
                <w:b/>
                <w:color w:val="auto"/>
                <w:kern w:val="0"/>
                <w:sz w:val="24"/>
                <w:highlight w:val="none"/>
                <w:lang w:bidi="ar"/>
              </w:rPr>
              <w:t>6902药品与医疗器械类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173</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690201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制药技术应用</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174</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690202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生物制药工艺</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176</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690204</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药品食品检验</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177</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690205</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制药设备维修</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178</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690206</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医疗设备安装与维护</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179</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690207</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医疗器械维修与营销</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BFBFBF"/>
            <w:tcMar>
              <w:top w:w="8" w:type="dxa"/>
              <w:left w:w="8" w:type="dxa"/>
              <w:right w:w="8" w:type="dxa"/>
            </w:tcMar>
            <w:vAlign w:val="center"/>
          </w:tcPr>
          <w:p>
            <w:pPr>
              <w:widowControl/>
              <w:jc w:val="left"/>
              <w:textAlignment w:val="center"/>
              <w:rPr>
                <w:rFonts w:ascii="Times New Roman" w:hAnsi="Times New Roman" w:eastAsia="黑体" w:cs="黑体"/>
                <w:b/>
                <w:color w:val="auto"/>
                <w:kern w:val="0"/>
                <w:sz w:val="28"/>
                <w:szCs w:val="28"/>
                <w:highlight w:val="none"/>
                <w:lang w:bidi="ar"/>
              </w:rPr>
            </w:pPr>
            <w:r>
              <w:rPr>
                <w:rFonts w:hint="eastAsia" w:ascii="Times New Roman" w:hAnsi="Times New Roman" w:eastAsia="黑体" w:cs="黑体"/>
                <w:b/>
                <w:color w:val="auto"/>
                <w:kern w:val="0"/>
                <w:sz w:val="28"/>
                <w:szCs w:val="28"/>
                <w:highlight w:val="none"/>
                <w:lang w:bidi="ar"/>
              </w:rPr>
              <w:t>71电子与信息大类</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auto"/>
                <w:sz w:val="24"/>
                <w:highlight w:val="none"/>
              </w:rPr>
            </w:pPr>
            <w:r>
              <w:rPr>
                <w:rFonts w:hint="eastAsia" w:ascii="Times New Roman" w:hAnsi="Times New Roman" w:eastAsia="仿宋_GB2312" w:cs="仿宋_GB2312"/>
                <w:b/>
                <w:color w:val="auto"/>
                <w:kern w:val="0"/>
                <w:sz w:val="24"/>
                <w:highlight w:val="none"/>
                <w:lang w:bidi="ar"/>
              </w:rPr>
              <w:t>7101电子信息类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219</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710101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电子信息技术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221</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710103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电子技术应用</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222</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710104</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电子材料与元器件制造</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223</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710105</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电子电器应用与维修</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224</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710106</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服务机器人装配与维护</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auto"/>
                <w:sz w:val="24"/>
                <w:highlight w:val="none"/>
              </w:rPr>
            </w:pPr>
            <w:r>
              <w:rPr>
                <w:rFonts w:hint="eastAsia" w:ascii="Times New Roman" w:hAnsi="Times New Roman" w:eastAsia="仿宋_GB2312" w:cs="仿宋_GB2312"/>
                <w:b/>
                <w:color w:val="auto"/>
                <w:kern w:val="0"/>
                <w:sz w:val="24"/>
                <w:highlight w:val="none"/>
                <w:lang w:bidi="ar"/>
              </w:rPr>
              <w:t>7102计算机类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225</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710201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计算机应用</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226</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710202</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计算机网络技术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227</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710203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软件与信息服务</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BFBFBF"/>
            <w:tcMar>
              <w:top w:w="8" w:type="dxa"/>
              <w:left w:w="8" w:type="dxa"/>
              <w:right w:w="8" w:type="dxa"/>
            </w:tcMar>
            <w:vAlign w:val="center"/>
          </w:tcPr>
          <w:p>
            <w:pPr>
              <w:widowControl/>
              <w:jc w:val="left"/>
              <w:textAlignment w:val="center"/>
              <w:rPr>
                <w:rFonts w:ascii="Times New Roman" w:hAnsi="Times New Roman" w:eastAsia="黑体" w:cs="黑体"/>
                <w:b/>
                <w:color w:val="auto"/>
                <w:kern w:val="0"/>
                <w:sz w:val="28"/>
                <w:szCs w:val="28"/>
                <w:highlight w:val="none"/>
                <w:lang w:bidi="ar"/>
              </w:rPr>
            </w:pPr>
            <w:r>
              <w:rPr>
                <w:rFonts w:hint="eastAsia" w:ascii="Times New Roman" w:hAnsi="Times New Roman" w:eastAsia="黑体" w:cs="黑体"/>
                <w:b/>
                <w:color w:val="auto"/>
                <w:kern w:val="0"/>
                <w:sz w:val="28"/>
                <w:szCs w:val="28"/>
                <w:highlight w:val="none"/>
                <w:lang w:bidi="ar"/>
              </w:rPr>
              <w:t>72医药卫生大类</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auto"/>
                <w:sz w:val="24"/>
                <w:highlight w:val="none"/>
              </w:rPr>
            </w:pPr>
            <w:r>
              <w:rPr>
                <w:rFonts w:hint="eastAsia" w:ascii="Times New Roman" w:hAnsi="Times New Roman" w:eastAsia="仿宋_GB2312" w:cs="仿宋_GB2312"/>
                <w:b/>
                <w:color w:val="auto"/>
                <w:kern w:val="0"/>
                <w:sz w:val="24"/>
                <w:highlight w:val="none"/>
                <w:lang w:bidi="ar"/>
              </w:rPr>
              <w:t>7203药学类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241</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720301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药剂</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auto"/>
                <w:sz w:val="24"/>
                <w:highlight w:val="none"/>
              </w:rPr>
            </w:pPr>
            <w:r>
              <w:rPr>
                <w:rFonts w:hint="eastAsia" w:ascii="Times New Roman" w:hAnsi="Times New Roman" w:eastAsia="仿宋_GB2312" w:cs="仿宋_GB2312"/>
                <w:b/>
                <w:color w:val="auto"/>
                <w:kern w:val="0"/>
                <w:sz w:val="24"/>
                <w:highlight w:val="none"/>
                <w:lang w:bidi="ar"/>
              </w:rPr>
              <w:t>7204中医药类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244</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720403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中药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245</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720404</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藏医医疗与藏药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246</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720405</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维医医疗与维药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247</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720406</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蒙医医疗与蒙药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248</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720407</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中药制药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249</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720408</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中医康复技术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250</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720409</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中医养生保健</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251</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720410</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哈医医疗与哈药</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auto"/>
                <w:sz w:val="24"/>
                <w:highlight w:val="none"/>
              </w:rPr>
            </w:pPr>
            <w:r>
              <w:rPr>
                <w:rFonts w:hint="eastAsia" w:ascii="Times New Roman" w:hAnsi="Times New Roman" w:eastAsia="仿宋_GB2312" w:cs="仿宋_GB2312"/>
                <w:b/>
                <w:color w:val="auto"/>
                <w:kern w:val="0"/>
                <w:sz w:val="24"/>
                <w:highlight w:val="none"/>
                <w:lang w:bidi="ar"/>
              </w:rPr>
              <w:t>7205医学技术类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252</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720501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医学检验技术</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254</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720503</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医学生物技术</w:t>
            </w:r>
          </w:p>
        </w:tc>
      </w:tr>
      <w:tr>
        <w:tblPrEx>
          <w:tblCellMar>
            <w:top w:w="0" w:type="dxa"/>
            <w:left w:w="0" w:type="dxa"/>
            <w:bottom w:w="0" w:type="dxa"/>
            <w:right w:w="0" w:type="dxa"/>
          </w:tblCellMar>
        </w:tblPrEx>
        <w:trPr>
          <w:cantSplit/>
          <w:trHeight w:val="340" w:hRule="atLeast"/>
        </w:trPr>
        <w:tc>
          <w:tcPr>
            <w:tcW w:w="8275" w:type="dxa"/>
            <w:gridSpan w:val="3"/>
            <w:tcBorders>
              <w:top w:val="single" w:color="000000" w:sz="4" w:space="0"/>
              <w:left w:val="single" w:color="000000" w:sz="4" w:space="0"/>
              <w:bottom w:val="single" w:color="000000" w:sz="4" w:space="0"/>
              <w:right w:val="single" w:color="000000" w:sz="4" w:space="0"/>
            </w:tcBorders>
            <w:shd w:val="clear" w:color="auto" w:fill="D9D9D9"/>
            <w:tcMar>
              <w:top w:w="8" w:type="dxa"/>
              <w:left w:w="8" w:type="dxa"/>
              <w:right w:w="8" w:type="dxa"/>
            </w:tcMar>
            <w:vAlign w:val="center"/>
          </w:tcPr>
          <w:p>
            <w:pPr>
              <w:widowControl/>
              <w:jc w:val="left"/>
              <w:textAlignment w:val="center"/>
              <w:rPr>
                <w:rFonts w:ascii="Times New Roman" w:hAnsi="Times New Roman" w:eastAsia="仿宋_GB2312" w:cs="仿宋_GB2312"/>
                <w:b/>
                <w:color w:val="auto"/>
                <w:sz w:val="24"/>
                <w:highlight w:val="none"/>
              </w:rPr>
            </w:pPr>
            <w:r>
              <w:rPr>
                <w:rFonts w:hint="eastAsia" w:ascii="Times New Roman" w:hAnsi="Times New Roman" w:eastAsia="仿宋_GB2312" w:cs="仿宋_GB2312"/>
                <w:b/>
                <w:color w:val="auto"/>
                <w:kern w:val="0"/>
                <w:sz w:val="24"/>
                <w:highlight w:val="none"/>
                <w:lang w:bidi="ar"/>
              </w:rPr>
              <w:t>7208健康管理与促进类</w:t>
            </w:r>
          </w:p>
        </w:tc>
      </w:tr>
      <w:tr>
        <w:tblPrEx>
          <w:tblCellMar>
            <w:top w:w="0" w:type="dxa"/>
            <w:left w:w="0" w:type="dxa"/>
            <w:bottom w:w="0" w:type="dxa"/>
            <w:right w:w="0" w:type="dxa"/>
          </w:tblCellMar>
        </w:tblPrEx>
        <w:trPr>
          <w:cantSplit/>
          <w:trHeight w:val="340" w:hRule="atLeast"/>
        </w:trPr>
        <w:tc>
          <w:tcPr>
            <w:tcW w:w="1165"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259</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720801</w:t>
            </w:r>
          </w:p>
        </w:tc>
        <w:tc>
          <w:tcPr>
            <w:tcW w:w="501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left"/>
              <w:textAlignment w:val="center"/>
              <w:rPr>
                <w:rFonts w:ascii="Times New Roman" w:hAnsi="Times New Roman" w:eastAsia="仿宋_GB2312" w:cs="仿宋_GB2312"/>
                <w:color w:val="auto"/>
                <w:sz w:val="24"/>
                <w:highlight w:val="none"/>
              </w:rPr>
            </w:pPr>
            <w:r>
              <w:rPr>
                <w:rFonts w:hint="eastAsia" w:ascii="Times New Roman" w:hAnsi="Times New Roman" w:eastAsia="仿宋_GB2312" w:cs="仿宋_GB2312"/>
                <w:color w:val="auto"/>
                <w:kern w:val="0"/>
                <w:sz w:val="24"/>
                <w:highlight w:val="none"/>
                <w:lang w:bidi="ar"/>
              </w:rPr>
              <w:t>营养与保健</w:t>
            </w:r>
          </w:p>
        </w:tc>
      </w:tr>
    </w:tbl>
    <w:p>
      <w:pPr>
        <w:rPr>
          <w:rFonts w:ascii="黑体" w:hAnsi="宋体" w:eastAsia="黑体" w:cs="黑体"/>
          <w:b/>
          <w:color w:val="auto"/>
          <w:kern w:val="0"/>
          <w:sz w:val="24"/>
          <w:highlight w:val="none"/>
          <w:lang w:bidi="ar"/>
        </w:rPr>
      </w:pPr>
    </w:p>
    <w:p>
      <w:pPr>
        <w:rPr>
          <w:rFonts w:hint="eastAsia" w:ascii="黑体" w:hAnsi="宋体" w:eastAsia="黑体" w:cs="黑体"/>
          <w:b/>
          <w:color w:val="auto"/>
          <w:kern w:val="0"/>
          <w:sz w:val="24"/>
          <w:highlight w:val="none"/>
          <w:lang w:bidi="ar"/>
        </w:rPr>
      </w:pPr>
      <w:r>
        <w:rPr>
          <w:rFonts w:hint="eastAsia" w:ascii="黑体" w:hAnsi="宋体" w:eastAsia="黑体" w:cs="黑体"/>
          <w:b/>
          <w:color w:val="auto"/>
          <w:kern w:val="0"/>
          <w:sz w:val="24"/>
          <w:highlight w:val="none"/>
          <w:lang w:bidi="ar"/>
        </w:rPr>
        <w:t>特别说明：1、本目录为动态目录。</w:t>
      </w:r>
    </w:p>
    <w:p>
      <w:pPr>
        <w:rPr>
          <w:rFonts w:ascii="黑体" w:hAnsi="宋体" w:eastAsia="黑体" w:cs="黑体"/>
          <w:b/>
          <w:color w:val="auto"/>
          <w:kern w:val="0"/>
          <w:sz w:val="24"/>
          <w:highlight w:val="none"/>
          <w:lang w:bidi="ar"/>
        </w:rPr>
      </w:pPr>
      <w:r>
        <w:rPr>
          <w:rFonts w:hint="eastAsia" w:ascii="黑体" w:hAnsi="宋体" w:eastAsia="黑体" w:cs="黑体"/>
          <w:b/>
          <w:color w:val="auto"/>
          <w:kern w:val="0"/>
          <w:sz w:val="24"/>
          <w:highlight w:val="none"/>
          <w:lang w:bidi="ar"/>
        </w:rPr>
        <w:t xml:space="preserve">          2、不在目录清单专业。不在《东莞市医药行业制药和医疗器械专业工程系列初次职称考核认定专业参考目录》</w:t>
      </w:r>
      <w:r>
        <w:rPr>
          <w:rFonts w:hint="eastAsia" w:ascii="黑体" w:hAnsi="宋体" w:eastAsia="黑体" w:cs="黑体"/>
          <w:b/>
          <w:color w:val="auto"/>
          <w:kern w:val="0"/>
          <w:sz w:val="24"/>
          <w:highlight w:val="none"/>
          <w:lang w:eastAsia="zh-CN" w:bidi="ar"/>
        </w:rPr>
        <w:t>的</w:t>
      </w:r>
      <w:r>
        <w:rPr>
          <w:rFonts w:hint="eastAsia" w:ascii="黑体" w:hAnsi="宋体" w:eastAsia="黑体" w:cs="黑体"/>
          <w:b/>
          <w:color w:val="auto"/>
          <w:kern w:val="0"/>
          <w:sz w:val="24"/>
          <w:highlight w:val="none"/>
          <w:lang w:bidi="ar"/>
        </w:rPr>
        <w:t>相近专业，建议由申报人提交毕业学校出具专业情况说明，证明是否属于制药专业对口或相近专业。</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2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zNzczMmYzNWM4NTAzNDdmMDg1YjllZDE4MzI3YzIifQ=="/>
  </w:docVars>
  <w:rsids>
    <w:rsidRoot w:val="08695A4B"/>
    <w:rsid w:val="00142FD0"/>
    <w:rsid w:val="007555FB"/>
    <w:rsid w:val="08695A4B"/>
    <w:rsid w:val="14305830"/>
    <w:rsid w:val="15B84976"/>
    <w:rsid w:val="23512B56"/>
    <w:rsid w:val="32F8676D"/>
    <w:rsid w:val="34833233"/>
    <w:rsid w:val="3D3F2A3B"/>
    <w:rsid w:val="40E21AF0"/>
    <w:rsid w:val="50476E11"/>
    <w:rsid w:val="50EE52D5"/>
    <w:rsid w:val="58451DFE"/>
    <w:rsid w:val="58EF5C8A"/>
    <w:rsid w:val="5CB50516"/>
    <w:rsid w:val="600B4656"/>
    <w:rsid w:val="66EB344B"/>
    <w:rsid w:val="6E411F63"/>
    <w:rsid w:val="6E5F0D04"/>
    <w:rsid w:val="768E1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BDCC0"/>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1227</Words>
  <Characters>6997</Characters>
  <Lines>58</Lines>
  <Paragraphs>16</Paragraphs>
  <TotalTime>1</TotalTime>
  <ScaleCrop>false</ScaleCrop>
  <LinksUpToDate>false</LinksUpToDate>
  <CharactersWithSpaces>8208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2023-11-30T14:22:00Z</dcterms:created>
  <dc:creator>锐华</dc:creator>
  <cp:lastModifiedBy>赖恬</cp:lastModifiedBy>
  <dcterms:modified xsi:type="dcterms:W3CDTF">2023-12-12T08:39:21Z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C767771C39DE4CF4B3AB2735A2CFFB47_13</vt:lpwstr>
  </property>
</Properties>
</file>