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8" w:lineRule="auto"/>
      </w:pPr>
    </w:p>
    <w:p>
      <w:pPr>
        <w:widowControl w:val="0"/>
        <w:kinsoku/>
        <w:autoSpaceDE/>
        <w:autoSpaceDN/>
        <w:adjustRightInd/>
        <w:snapToGrid/>
        <w:spacing w:before="170" w:line="228" w:lineRule="auto"/>
        <w:jc w:val="center"/>
        <w:textAlignment w:val="auto"/>
        <w:rPr>
          <w:rFonts w:ascii="Times New Roman" w:hAnsi="Times New Roman" w:eastAsia="方正小标宋简体" w:cs="Times New Roman"/>
          <w:snapToGrid/>
          <w:kern w:val="2"/>
          <w:sz w:val="32"/>
          <w:szCs w:val="32"/>
        </w:rPr>
      </w:pPr>
      <w:r>
        <w:rPr>
          <w:rFonts w:ascii="Times New Roman" w:hAnsi="Times New Roman" w:eastAsia="方正小标宋简体" w:cs="Times New Roman"/>
          <w:snapToGrid/>
          <w:kern w:val="2"/>
          <w:sz w:val="32"/>
          <w:szCs w:val="32"/>
        </w:rPr>
        <w:t>202</w:t>
      </w:r>
      <w:r>
        <w:rPr>
          <w:rFonts w:hint="eastAsia" w:ascii="Times New Roman" w:hAnsi="Times New Roman" w:eastAsia="方正小标宋简体" w:cs="Times New Roman"/>
          <w:snapToGrid/>
          <w:kern w:val="2"/>
          <w:sz w:val="32"/>
          <w:szCs w:val="32"/>
          <w:lang w:val="en-US" w:eastAsia="zh-CN"/>
        </w:rPr>
        <w:t>4</w:t>
      </w:r>
      <w:r>
        <w:rPr>
          <w:rFonts w:ascii="Times New Roman" w:hAnsi="Times New Roman" w:eastAsia="方正小标宋简体" w:cs="Times New Roman"/>
          <w:snapToGrid/>
          <w:kern w:val="2"/>
          <w:sz w:val="32"/>
          <w:szCs w:val="32"/>
        </w:rPr>
        <w:t>年东莞市</w:t>
      </w:r>
      <w:r>
        <w:rPr>
          <w:rFonts w:hint="eastAsia" w:ascii="Times New Roman" w:hAnsi="Times New Roman" w:eastAsia="方正小标宋简体" w:cs="Times New Roman"/>
          <w:snapToGrid/>
          <w:kern w:val="2"/>
          <w:sz w:val="32"/>
          <w:szCs w:val="32"/>
          <w:lang w:val="en-US" w:eastAsia="zh-CN"/>
        </w:rPr>
        <w:t>电动自行车电池</w:t>
      </w:r>
      <w:r>
        <w:rPr>
          <w:rFonts w:ascii="Times New Roman" w:hAnsi="Times New Roman" w:eastAsia="方正小标宋简体" w:cs="Times New Roman"/>
          <w:snapToGrid/>
          <w:kern w:val="2"/>
          <w:sz w:val="32"/>
          <w:szCs w:val="32"/>
        </w:rPr>
        <w:t>产品质量监督抽查实施细则</w:t>
      </w:r>
    </w:p>
    <w:p>
      <w:pPr>
        <w:spacing w:line="251" w:lineRule="auto"/>
      </w:pPr>
    </w:p>
    <w:p>
      <w:pPr>
        <w:spacing w:line="251" w:lineRule="auto"/>
      </w:pPr>
    </w:p>
    <w:p>
      <w:pPr>
        <w:widowControl w:val="0"/>
        <w:kinsoku/>
        <w:autoSpaceDE/>
        <w:autoSpaceDN/>
        <w:adjustRightInd/>
        <w:snapToGrid w:val="0"/>
        <w:jc w:val="center"/>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本细则适用于东莞市市场监督管理局组织的电动自行车</w:t>
      </w:r>
      <w:r>
        <w:rPr>
          <w:rFonts w:hint="eastAsia" w:ascii="Times New Roman" w:hAnsi="Times New Roman" w:eastAsia="宋体" w:cs="Times New Roman"/>
          <w:snapToGrid/>
          <w:kern w:val="2"/>
          <w:szCs w:val="21"/>
          <w:lang w:val="en-US" w:eastAsia="zh-CN"/>
        </w:rPr>
        <w:t>电池</w:t>
      </w:r>
      <w:r>
        <w:rPr>
          <w:rFonts w:hint="eastAsia" w:ascii="Times New Roman" w:hAnsi="Times New Roman" w:eastAsia="宋体" w:cs="Times New Roman"/>
          <w:snapToGrid/>
          <w:kern w:val="2"/>
          <w:szCs w:val="21"/>
        </w:rPr>
        <w:t>产品质量监督抽查的抽样、检验工作。</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pPr>
      <w:r>
        <w:rPr>
          <w:rFonts w:ascii="Times New Roman" w:hAnsi="Times New Roman" w:eastAsia="宋体" w:cs="Times New Roman"/>
          <w:szCs w:val="21"/>
        </w:rPr>
        <w:t>抽样应符合《东莞市市场监督管理局产品质量监督抽查管理工作指引》  (东市监质监〔2020〕9号) 。</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每种产品抽取样品数量见表1。</w:t>
      </w:r>
    </w:p>
    <w:p>
      <w:pPr>
        <w:snapToGrid w:val="0"/>
        <w:spacing w:line="440" w:lineRule="exact"/>
        <w:jc w:val="center"/>
        <w:rPr>
          <w:rFonts w:hint="eastAsia" w:ascii="宋体" w:hAnsi="宋体"/>
          <w:color w:val="000000"/>
          <w:szCs w:val="21"/>
        </w:rPr>
      </w:pPr>
      <w:r>
        <w:rPr>
          <w:rFonts w:hint="eastAsia" w:ascii="宋体" w:hAnsi="宋体"/>
          <w:color w:val="000000"/>
          <w:szCs w:val="21"/>
        </w:rPr>
        <w:t>表1 抽样数量</w:t>
      </w:r>
    </w:p>
    <w:tbl>
      <w:tblPr>
        <w:tblStyle w:val="6"/>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91"/>
        <w:gridCol w:w="3360"/>
        <w:gridCol w:w="1463"/>
        <w:gridCol w:w="1873"/>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3" w:hRule="atLeast"/>
          <w:jc w:val="center"/>
        </w:trPr>
        <w:tc>
          <w:tcPr>
            <w:tcW w:w="332" w:type="pct"/>
            <w:noWrap w:val="0"/>
            <w:vAlign w:val="center"/>
          </w:tcPr>
          <w:p>
            <w:pPr>
              <w:snapToGrid w:val="0"/>
              <w:spacing w:line="440" w:lineRule="exact"/>
              <w:jc w:val="center"/>
              <w:rPr>
                <w:rFonts w:hint="eastAsia"/>
                <w:color w:val="000000"/>
                <w:szCs w:val="21"/>
              </w:rPr>
            </w:pPr>
            <w:r>
              <w:rPr>
                <w:rFonts w:hint="eastAsia"/>
                <w:color w:val="000000"/>
                <w:szCs w:val="21"/>
              </w:rPr>
              <w:t>序号</w:t>
            </w:r>
          </w:p>
        </w:tc>
        <w:tc>
          <w:tcPr>
            <w:tcW w:w="1887" w:type="pct"/>
            <w:noWrap w:val="0"/>
            <w:vAlign w:val="center"/>
          </w:tcPr>
          <w:p>
            <w:pPr>
              <w:snapToGrid w:val="0"/>
              <w:spacing w:line="440" w:lineRule="exact"/>
              <w:jc w:val="center"/>
              <w:rPr>
                <w:rFonts w:hint="eastAsia"/>
                <w:color w:val="000000"/>
                <w:szCs w:val="21"/>
              </w:rPr>
            </w:pPr>
            <w:r>
              <w:rPr>
                <w:rFonts w:hint="eastAsia"/>
                <w:color w:val="000000"/>
                <w:szCs w:val="21"/>
              </w:rPr>
              <w:t>产品种类</w:t>
            </w:r>
          </w:p>
        </w:tc>
        <w:tc>
          <w:tcPr>
            <w:tcW w:w="822" w:type="pct"/>
            <w:noWrap w:val="0"/>
            <w:vAlign w:val="center"/>
          </w:tcPr>
          <w:p>
            <w:pPr>
              <w:snapToGrid w:val="0"/>
              <w:spacing w:line="440" w:lineRule="exact"/>
              <w:jc w:val="center"/>
              <w:rPr>
                <w:rFonts w:hint="eastAsia"/>
                <w:color w:val="000000"/>
                <w:szCs w:val="21"/>
              </w:rPr>
            </w:pPr>
            <w:r>
              <w:rPr>
                <w:rFonts w:hint="eastAsia"/>
                <w:color w:val="000000"/>
                <w:szCs w:val="21"/>
              </w:rPr>
              <w:t>抽样数量</w:t>
            </w:r>
          </w:p>
        </w:tc>
        <w:tc>
          <w:tcPr>
            <w:tcW w:w="1052" w:type="pct"/>
            <w:noWrap w:val="0"/>
            <w:vAlign w:val="center"/>
          </w:tcPr>
          <w:p>
            <w:pPr>
              <w:snapToGrid w:val="0"/>
              <w:spacing w:line="440" w:lineRule="exact"/>
              <w:jc w:val="center"/>
              <w:rPr>
                <w:rFonts w:hint="eastAsia"/>
                <w:color w:val="000000"/>
                <w:szCs w:val="21"/>
              </w:rPr>
            </w:pPr>
            <w:r>
              <w:rPr>
                <w:rFonts w:hint="eastAsia"/>
                <w:color w:val="000000"/>
                <w:szCs w:val="21"/>
              </w:rPr>
              <w:t>检验样品数量</w:t>
            </w:r>
          </w:p>
        </w:tc>
        <w:tc>
          <w:tcPr>
            <w:tcW w:w="906" w:type="pct"/>
            <w:noWrap w:val="0"/>
            <w:vAlign w:val="center"/>
          </w:tcPr>
          <w:p>
            <w:pPr>
              <w:snapToGrid w:val="0"/>
              <w:spacing w:line="440" w:lineRule="exact"/>
              <w:jc w:val="center"/>
              <w:rPr>
                <w:rFonts w:hint="eastAsia"/>
                <w:color w:val="000000"/>
                <w:szCs w:val="21"/>
              </w:rPr>
            </w:pPr>
            <w:r>
              <w:rPr>
                <w:rFonts w:hint="eastAsia"/>
                <w:color w:val="000000"/>
                <w:szCs w:val="21"/>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33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1</w:t>
            </w:r>
          </w:p>
        </w:tc>
        <w:tc>
          <w:tcPr>
            <w:tcW w:w="1887"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电动助力车用阀控式铅酸蓄电池（产品明示执行标准GB/T 22199.1—2017）</w:t>
            </w:r>
          </w:p>
        </w:tc>
        <w:tc>
          <w:tcPr>
            <w:tcW w:w="82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8只</w:t>
            </w:r>
          </w:p>
        </w:tc>
        <w:tc>
          <w:tcPr>
            <w:tcW w:w="105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4只</w:t>
            </w:r>
          </w:p>
        </w:tc>
        <w:tc>
          <w:tcPr>
            <w:tcW w:w="906"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6" w:hRule="atLeast"/>
          <w:jc w:val="center"/>
        </w:trPr>
        <w:tc>
          <w:tcPr>
            <w:tcW w:w="33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2</w:t>
            </w:r>
          </w:p>
        </w:tc>
        <w:tc>
          <w:tcPr>
            <w:tcW w:w="1887"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电动自行车用锂离子蓄电池（产品明示执行标准GB/T 36972—2018）</w:t>
            </w:r>
          </w:p>
        </w:tc>
        <w:tc>
          <w:tcPr>
            <w:tcW w:w="82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4组</w:t>
            </w:r>
          </w:p>
        </w:tc>
        <w:tc>
          <w:tcPr>
            <w:tcW w:w="105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2组</w:t>
            </w:r>
          </w:p>
        </w:tc>
        <w:tc>
          <w:tcPr>
            <w:tcW w:w="906"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33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3</w:t>
            </w:r>
          </w:p>
        </w:tc>
        <w:tc>
          <w:tcPr>
            <w:tcW w:w="1887"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电动自行车用锂离子蓄电池（产品明示执行标准QB/T 2947.3—2008）</w:t>
            </w:r>
          </w:p>
        </w:tc>
        <w:tc>
          <w:tcPr>
            <w:tcW w:w="82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6组</w:t>
            </w:r>
          </w:p>
        </w:tc>
        <w:tc>
          <w:tcPr>
            <w:tcW w:w="1052"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4组</w:t>
            </w:r>
          </w:p>
        </w:tc>
        <w:tc>
          <w:tcPr>
            <w:tcW w:w="906" w:type="pct"/>
            <w:noWrap w:val="0"/>
            <w:vAlign w:val="center"/>
          </w:tcPr>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2组</w:t>
            </w:r>
          </w:p>
        </w:tc>
      </w:tr>
    </w:tbl>
    <w:p>
      <w:pPr>
        <w:snapToGrid w:val="0"/>
        <w:spacing w:line="440" w:lineRule="exact"/>
        <w:rPr>
          <w:rFonts w:hint="eastAsia" w:ascii="黑体" w:hAnsi="宋体" w:eastAsia="黑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tabs>
          <w:tab w:val="left" w:pos="1701"/>
          <w:tab w:val="left" w:pos="2268"/>
        </w:tabs>
        <w:snapToGrid w:val="0"/>
        <w:spacing w:line="440" w:lineRule="exact"/>
        <w:jc w:val="center"/>
        <w:rPr>
          <w:rFonts w:hint="eastAsia" w:ascii="宋体" w:hAnsi="宋体"/>
          <w:color w:val="000000"/>
          <w:szCs w:val="21"/>
        </w:rPr>
      </w:pPr>
      <w:r>
        <w:rPr>
          <w:rFonts w:hint="eastAsia" w:ascii="宋体" w:hAnsi="宋体"/>
          <w:color w:val="000000"/>
          <w:szCs w:val="21"/>
        </w:rPr>
        <w:t xml:space="preserve"> 表2</w:t>
      </w:r>
      <w:r>
        <w:rPr>
          <w:rFonts w:hint="eastAsia"/>
          <w:color w:val="000000"/>
          <w:szCs w:val="21"/>
        </w:rPr>
        <w:t xml:space="preserve"> </w:t>
      </w:r>
      <w:r>
        <w:rPr>
          <w:rFonts w:hint="eastAsia" w:ascii="宋体" w:hAnsi="宋体"/>
          <w:color w:val="000000"/>
          <w:szCs w:val="21"/>
        </w:rPr>
        <w:t>电动助力车用阀控式铅酸蓄电池（</w:t>
      </w:r>
      <w:r>
        <w:rPr>
          <w:rFonts w:ascii="宋体" w:hAnsi="宋体"/>
          <w:color w:val="000000"/>
          <w:szCs w:val="21"/>
        </w:rPr>
        <w:t>GB/T 22199.1</w:t>
      </w:r>
      <w:r>
        <w:rPr>
          <w:color w:val="000000"/>
          <w:szCs w:val="21"/>
        </w:rPr>
        <w:t>—</w:t>
      </w:r>
      <w:r>
        <w:rPr>
          <w:rFonts w:ascii="宋体" w:hAnsi="宋体"/>
          <w:color w:val="000000"/>
          <w:szCs w:val="21"/>
        </w:rPr>
        <w:t>2017</w:t>
      </w:r>
      <w:r>
        <w:rPr>
          <w:rFonts w:hint="eastAsia" w:ascii="宋体" w:hAnsi="宋体"/>
          <w:color w:val="000000"/>
          <w:szCs w:val="21"/>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29"/>
        <w:gridCol w:w="2546"/>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3029"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546"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60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3029" w:type="dxa"/>
            <w:noWrap w:val="0"/>
            <w:vAlign w:val="center"/>
          </w:tcPr>
          <w:p>
            <w:pPr>
              <w:jc w:val="center"/>
              <w:rPr>
                <w:rFonts w:ascii="宋体" w:hAnsi="宋体" w:cs="宋体"/>
                <w:color w:val="000000"/>
                <w:szCs w:val="21"/>
              </w:rPr>
            </w:pPr>
            <w:r>
              <w:rPr>
                <w:rFonts w:hint="eastAsia"/>
                <w:color w:val="000000"/>
                <w:szCs w:val="21"/>
              </w:rPr>
              <w:t>2hr容量</w:t>
            </w:r>
          </w:p>
        </w:tc>
        <w:tc>
          <w:tcPr>
            <w:tcW w:w="2546"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2</w:t>
            </w:r>
          </w:p>
        </w:tc>
        <w:tc>
          <w:tcPr>
            <w:tcW w:w="3029" w:type="dxa"/>
            <w:noWrap w:val="0"/>
            <w:vAlign w:val="center"/>
          </w:tcPr>
          <w:p>
            <w:pPr>
              <w:jc w:val="center"/>
              <w:rPr>
                <w:rFonts w:ascii="宋体" w:hAnsi="宋体" w:cs="宋体"/>
                <w:color w:val="000000"/>
                <w:szCs w:val="21"/>
              </w:rPr>
            </w:pPr>
            <w:r>
              <w:rPr>
                <w:rFonts w:hint="eastAsia"/>
                <w:color w:val="000000"/>
                <w:szCs w:val="21"/>
              </w:rPr>
              <w:t>大电流放电</w:t>
            </w:r>
          </w:p>
        </w:tc>
        <w:tc>
          <w:tcPr>
            <w:tcW w:w="2546"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3</w:t>
            </w:r>
          </w:p>
        </w:tc>
        <w:tc>
          <w:tcPr>
            <w:tcW w:w="3029" w:type="dxa"/>
            <w:noWrap w:val="0"/>
            <w:vAlign w:val="center"/>
          </w:tcPr>
          <w:p>
            <w:pPr>
              <w:jc w:val="center"/>
              <w:rPr>
                <w:rFonts w:ascii="宋体" w:hAnsi="宋体" w:cs="宋体"/>
                <w:color w:val="000000"/>
                <w:szCs w:val="21"/>
              </w:rPr>
            </w:pPr>
            <w:r>
              <w:rPr>
                <w:rFonts w:hint="eastAsia"/>
                <w:color w:val="000000"/>
                <w:szCs w:val="21"/>
              </w:rPr>
              <w:t>能量密度</w:t>
            </w:r>
          </w:p>
        </w:tc>
        <w:tc>
          <w:tcPr>
            <w:tcW w:w="2546"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4</w:t>
            </w:r>
          </w:p>
        </w:tc>
        <w:tc>
          <w:tcPr>
            <w:tcW w:w="3029" w:type="dxa"/>
            <w:noWrap w:val="0"/>
            <w:vAlign w:val="center"/>
          </w:tcPr>
          <w:p>
            <w:pPr>
              <w:jc w:val="center"/>
              <w:rPr>
                <w:rFonts w:ascii="宋体" w:hAnsi="宋体" w:cs="宋体"/>
                <w:color w:val="000000"/>
                <w:szCs w:val="21"/>
              </w:rPr>
            </w:pPr>
            <w:r>
              <w:rPr>
                <w:rFonts w:hint="eastAsia"/>
                <w:color w:val="000000"/>
                <w:szCs w:val="21"/>
              </w:rPr>
              <w:t>低温容量</w:t>
            </w:r>
          </w:p>
        </w:tc>
        <w:tc>
          <w:tcPr>
            <w:tcW w:w="2546"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5</w:t>
            </w:r>
          </w:p>
        </w:tc>
        <w:tc>
          <w:tcPr>
            <w:tcW w:w="3029" w:type="dxa"/>
            <w:noWrap w:val="0"/>
            <w:vAlign w:val="center"/>
          </w:tcPr>
          <w:p>
            <w:pPr>
              <w:jc w:val="center"/>
              <w:rPr>
                <w:rFonts w:ascii="宋体" w:hAnsi="宋体" w:cs="宋体"/>
                <w:color w:val="000000"/>
                <w:szCs w:val="21"/>
              </w:rPr>
            </w:pPr>
            <w:r>
              <w:rPr>
                <w:rFonts w:hint="eastAsia"/>
                <w:color w:val="000000"/>
                <w:szCs w:val="21"/>
              </w:rPr>
              <w:t>快速充电能力</w:t>
            </w:r>
          </w:p>
        </w:tc>
        <w:tc>
          <w:tcPr>
            <w:tcW w:w="2546"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6</w:t>
            </w:r>
          </w:p>
        </w:tc>
        <w:tc>
          <w:tcPr>
            <w:tcW w:w="3029" w:type="dxa"/>
            <w:noWrap w:val="0"/>
            <w:vAlign w:val="center"/>
          </w:tcPr>
          <w:p>
            <w:pPr>
              <w:jc w:val="center"/>
              <w:rPr>
                <w:rFonts w:ascii="宋体" w:hAnsi="宋体" w:cs="宋体"/>
                <w:color w:val="000000"/>
                <w:szCs w:val="21"/>
              </w:rPr>
            </w:pPr>
            <w:r>
              <w:rPr>
                <w:rFonts w:hint="eastAsia"/>
                <w:color w:val="000000"/>
                <w:szCs w:val="21"/>
              </w:rPr>
              <w:t>防爆能力</w:t>
            </w:r>
          </w:p>
        </w:tc>
        <w:tc>
          <w:tcPr>
            <w:tcW w:w="2546"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c>
          <w:tcPr>
            <w:tcW w:w="2602" w:type="dxa"/>
            <w:noWrap w:val="0"/>
            <w:vAlign w:val="center"/>
          </w:tcPr>
          <w:p>
            <w:pPr>
              <w:snapToGrid w:val="0"/>
              <w:spacing w:line="440" w:lineRule="exact"/>
              <w:jc w:val="center"/>
              <w:rPr>
                <w:rFonts w:hint="eastAsia" w:ascii="宋体" w:hAnsi="宋体"/>
                <w:color w:val="000000"/>
                <w:szCs w:val="21"/>
              </w:rPr>
            </w:pPr>
            <w:r>
              <w:rPr>
                <w:rFonts w:ascii="宋体" w:hAnsi="宋体"/>
                <w:color w:val="000000"/>
                <w:szCs w:val="21"/>
              </w:rPr>
              <w:t>GB/T 22199.1</w:t>
            </w:r>
            <w:r>
              <w:rPr>
                <w:color w:val="000000"/>
                <w:szCs w:val="21"/>
              </w:rPr>
              <w:t>—</w:t>
            </w:r>
            <w:r>
              <w:rPr>
                <w:rFonts w:ascii="宋体" w:hAnsi="宋体"/>
                <w:color w:val="000000"/>
                <w:szCs w:val="21"/>
              </w:rPr>
              <w:t>2017</w:t>
            </w:r>
          </w:p>
        </w:tc>
      </w:tr>
    </w:tbl>
    <w:p>
      <w:pPr>
        <w:snapToGrid w:val="0"/>
        <w:spacing w:line="440" w:lineRule="exact"/>
        <w:ind w:firstLine="1680" w:firstLineChars="800"/>
        <w:rPr>
          <w:rFonts w:hint="eastAsia" w:ascii="宋体" w:hAnsi="宋体"/>
          <w:color w:val="000000"/>
          <w:szCs w:val="21"/>
        </w:rPr>
      </w:pPr>
      <w:r>
        <w:rPr>
          <w:rFonts w:hint="eastAsia" w:ascii="宋体" w:hAnsi="宋体"/>
          <w:color w:val="000000"/>
          <w:szCs w:val="21"/>
        </w:rPr>
        <w:t>表3</w:t>
      </w:r>
      <w:r>
        <w:rPr>
          <w:rFonts w:ascii="宋体" w:hAnsi="宋体"/>
          <w:color w:val="000000"/>
          <w:szCs w:val="21"/>
        </w:rPr>
        <w:t xml:space="preserve"> </w:t>
      </w:r>
      <w:r>
        <w:rPr>
          <w:rFonts w:hint="eastAsia" w:ascii="宋体" w:hAnsi="宋体"/>
          <w:color w:val="000000"/>
          <w:szCs w:val="21"/>
        </w:rPr>
        <w:t>电动自行车用锂离子蓄电池（</w:t>
      </w: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bl>
      <w:tblPr>
        <w:tblStyle w:val="6"/>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12"/>
        <w:gridCol w:w="258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6"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301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584"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581"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3012" w:type="dxa"/>
            <w:noWrap w:val="0"/>
            <w:vAlign w:val="center"/>
          </w:tcPr>
          <w:p>
            <w:pPr>
              <w:jc w:val="center"/>
              <w:rPr>
                <w:rFonts w:ascii="宋体" w:hAnsi="宋体" w:cs="宋体"/>
                <w:color w:val="000000"/>
                <w:szCs w:val="21"/>
              </w:rPr>
            </w:pPr>
            <w:r>
              <w:rPr>
                <w:rFonts w:hint="eastAsia"/>
                <w:color w:val="000000"/>
                <w:szCs w:val="21"/>
              </w:rPr>
              <w:t>I</w:t>
            </w:r>
            <w:r>
              <w:rPr>
                <w:color w:val="000000"/>
                <w:vertAlign w:val="subscript"/>
              </w:rPr>
              <w:t>2</w:t>
            </w:r>
            <w:r>
              <w:rPr>
                <w:color w:val="000000"/>
              </w:rPr>
              <w:t>(A)</w:t>
            </w:r>
            <w:r>
              <w:rPr>
                <w:rFonts w:hint="eastAsia"/>
                <w:color w:val="000000"/>
              </w:rPr>
              <w:t>放电</w:t>
            </w:r>
          </w:p>
        </w:tc>
        <w:tc>
          <w:tcPr>
            <w:tcW w:w="2584"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2</w:t>
            </w:r>
          </w:p>
        </w:tc>
        <w:tc>
          <w:tcPr>
            <w:tcW w:w="3012" w:type="dxa"/>
            <w:noWrap w:val="0"/>
            <w:vAlign w:val="center"/>
          </w:tcPr>
          <w:p>
            <w:pPr>
              <w:jc w:val="center"/>
              <w:rPr>
                <w:rFonts w:ascii="宋体" w:hAnsi="宋体" w:cs="宋体"/>
                <w:color w:val="000000"/>
                <w:szCs w:val="21"/>
              </w:rPr>
            </w:pPr>
            <w:r>
              <w:rPr>
                <w:rFonts w:hint="eastAsia"/>
                <w:color w:val="000000"/>
                <w:szCs w:val="21"/>
              </w:rPr>
              <w:t>低温放电</w:t>
            </w:r>
          </w:p>
        </w:tc>
        <w:tc>
          <w:tcPr>
            <w:tcW w:w="2584"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3</w:t>
            </w:r>
          </w:p>
        </w:tc>
        <w:tc>
          <w:tcPr>
            <w:tcW w:w="3012" w:type="dxa"/>
            <w:noWrap w:val="0"/>
            <w:vAlign w:val="center"/>
          </w:tcPr>
          <w:p>
            <w:pPr>
              <w:jc w:val="center"/>
              <w:rPr>
                <w:rFonts w:ascii="宋体" w:hAnsi="宋体" w:cs="宋体"/>
                <w:color w:val="000000"/>
                <w:szCs w:val="21"/>
              </w:rPr>
            </w:pPr>
            <w:r>
              <w:rPr>
                <w:rFonts w:hint="eastAsia"/>
                <w:color w:val="000000"/>
                <w:szCs w:val="21"/>
              </w:rPr>
              <w:t>过充电</w:t>
            </w:r>
          </w:p>
        </w:tc>
        <w:tc>
          <w:tcPr>
            <w:tcW w:w="2584" w:type="dxa"/>
            <w:noWrap w:val="0"/>
            <w:vAlign w:val="center"/>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4</w:t>
            </w:r>
          </w:p>
        </w:tc>
        <w:tc>
          <w:tcPr>
            <w:tcW w:w="3012" w:type="dxa"/>
            <w:noWrap w:val="0"/>
            <w:vAlign w:val="center"/>
          </w:tcPr>
          <w:p>
            <w:pPr>
              <w:jc w:val="center"/>
              <w:rPr>
                <w:rFonts w:ascii="宋体" w:hAnsi="宋体" w:cs="宋体"/>
                <w:color w:val="000000"/>
                <w:szCs w:val="21"/>
              </w:rPr>
            </w:pPr>
            <w:r>
              <w:rPr>
                <w:rFonts w:hint="eastAsia"/>
                <w:color w:val="000000"/>
                <w:szCs w:val="21"/>
              </w:rPr>
              <w:t>过充电保护</w:t>
            </w:r>
          </w:p>
        </w:tc>
        <w:tc>
          <w:tcPr>
            <w:tcW w:w="2584"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5</w:t>
            </w:r>
          </w:p>
        </w:tc>
        <w:tc>
          <w:tcPr>
            <w:tcW w:w="3012" w:type="dxa"/>
            <w:noWrap w:val="0"/>
            <w:vAlign w:val="center"/>
          </w:tcPr>
          <w:p>
            <w:pPr>
              <w:jc w:val="center"/>
              <w:rPr>
                <w:rFonts w:ascii="宋体" w:hAnsi="宋体" w:cs="宋体"/>
                <w:color w:val="000000"/>
                <w:szCs w:val="21"/>
              </w:rPr>
            </w:pPr>
            <w:r>
              <w:rPr>
                <w:rFonts w:hint="eastAsia"/>
                <w:color w:val="000000"/>
                <w:szCs w:val="21"/>
              </w:rPr>
              <w:t>过放电保护</w:t>
            </w:r>
          </w:p>
        </w:tc>
        <w:tc>
          <w:tcPr>
            <w:tcW w:w="2584"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6</w:t>
            </w:r>
          </w:p>
        </w:tc>
        <w:tc>
          <w:tcPr>
            <w:tcW w:w="3012" w:type="dxa"/>
            <w:noWrap w:val="0"/>
            <w:vAlign w:val="center"/>
          </w:tcPr>
          <w:p>
            <w:pPr>
              <w:jc w:val="center"/>
              <w:rPr>
                <w:rFonts w:ascii="宋体" w:hAnsi="宋体" w:cs="宋体"/>
                <w:color w:val="000000"/>
                <w:szCs w:val="21"/>
              </w:rPr>
            </w:pPr>
            <w:r>
              <w:rPr>
                <w:rFonts w:hint="eastAsia"/>
                <w:color w:val="000000"/>
                <w:szCs w:val="21"/>
              </w:rPr>
              <w:t>短路保护</w:t>
            </w:r>
          </w:p>
        </w:tc>
        <w:tc>
          <w:tcPr>
            <w:tcW w:w="2584"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7</w:t>
            </w:r>
          </w:p>
        </w:tc>
        <w:tc>
          <w:tcPr>
            <w:tcW w:w="3012" w:type="dxa"/>
            <w:noWrap w:val="0"/>
            <w:vAlign w:val="center"/>
          </w:tcPr>
          <w:p>
            <w:pPr>
              <w:jc w:val="center"/>
              <w:rPr>
                <w:rFonts w:ascii="宋体" w:hAnsi="宋体" w:cs="宋体"/>
                <w:color w:val="000000"/>
                <w:szCs w:val="21"/>
              </w:rPr>
            </w:pPr>
            <w:r>
              <w:rPr>
                <w:rFonts w:hint="eastAsia"/>
                <w:color w:val="000000"/>
                <w:szCs w:val="21"/>
              </w:rPr>
              <w:t>放电过流保护</w:t>
            </w:r>
          </w:p>
        </w:tc>
        <w:tc>
          <w:tcPr>
            <w:tcW w:w="2584"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8</w:t>
            </w:r>
          </w:p>
        </w:tc>
        <w:tc>
          <w:tcPr>
            <w:tcW w:w="3012" w:type="dxa"/>
            <w:noWrap w:val="0"/>
            <w:vAlign w:val="center"/>
          </w:tcPr>
          <w:p>
            <w:pPr>
              <w:jc w:val="center"/>
              <w:rPr>
                <w:rFonts w:ascii="宋体" w:hAnsi="宋体" w:cs="宋体"/>
                <w:color w:val="000000"/>
                <w:szCs w:val="21"/>
              </w:rPr>
            </w:pPr>
            <w:r>
              <w:rPr>
                <w:rFonts w:hint="eastAsia"/>
                <w:color w:val="000000"/>
                <w:szCs w:val="21"/>
              </w:rPr>
              <w:t>壳体阻燃性</w:t>
            </w:r>
          </w:p>
        </w:tc>
        <w:tc>
          <w:tcPr>
            <w:tcW w:w="2584" w:type="dxa"/>
            <w:noWrap w:val="0"/>
            <w:vAlign w:val="top"/>
          </w:tcPr>
          <w:p>
            <w:pPr>
              <w:snapToGrid w:val="0"/>
              <w:spacing w:line="440" w:lineRule="exact"/>
              <w:jc w:val="center"/>
              <w:rPr>
                <w:rFonts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c>
          <w:tcPr>
            <w:tcW w:w="2581" w:type="dxa"/>
            <w:noWrap w:val="0"/>
            <w:vAlign w:val="top"/>
          </w:tcPr>
          <w:p>
            <w:pPr>
              <w:snapToGrid w:val="0"/>
              <w:spacing w:line="440" w:lineRule="exact"/>
              <w:jc w:val="center"/>
              <w:rPr>
                <w:rFonts w:hint="eastAsia" w:ascii="宋体" w:hAnsi="宋体"/>
                <w:color w:val="000000"/>
                <w:szCs w:val="21"/>
              </w:rPr>
            </w:pPr>
            <w:r>
              <w:rPr>
                <w:rFonts w:ascii="宋体" w:hAnsi="宋体"/>
                <w:color w:val="000000"/>
                <w:szCs w:val="21"/>
              </w:rPr>
              <w:t xml:space="preserve">GB/T </w:t>
            </w:r>
            <w:r>
              <w:rPr>
                <w:rFonts w:hint="eastAsia" w:ascii="宋体" w:hAnsi="宋体"/>
                <w:color w:val="000000"/>
                <w:szCs w:val="21"/>
              </w:rPr>
              <w:t>36972</w:t>
            </w:r>
            <w:r>
              <w:rPr>
                <w:color w:val="000000"/>
                <w:szCs w:val="21"/>
              </w:rPr>
              <w:t>—</w:t>
            </w:r>
            <w:r>
              <w:rPr>
                <w:rFonts w:ascii="宋体" w:hAnsi="宋体"/>
                <w:color w:val="000000"/>
                <w:szCs w:val="21"/>
              </w:rPr>
              <w:t>201</w:t>
            </w:r>
            <w:r>
              <w:rPr>
                <w:rFonts w:hint="eastAsia" w:ascii="宋体" w:hAnsi="宋体"/>
                <w:color w:val="000000"/>
                <w:szCs w:val="21"/>
              </w:rPr>
              <w:t>8</w:t>
            </w:r>
          </w:p>
        </w:tc>
      </w:tr>
    </w:tbl>
    <w:p>
      <w:pPr>
        <w:snapToGrid w:val="0"/>
        <w:spacing w:line="440" w:lineRule="exact"/>
        <w:ind w:firstLine="1680" w:firstLineChars="800"/>
        <w:rPr>
          <w:rFonts w:hint="eastAsia" w:ascii="宋体" w:hAnsi="宋体"/>
          <w:color w:val="000000"/>
          <w:szCs w:val="21"/>
        </w:rPr>
      </w:pPr>
      <w:r>
        <w:rPr>
          <w:rFonts w:hint="eastAsia" w:ascii="宋体" w:hAnsi="宋体"/>
          <w:color w:val="000000"/>
          <w:szCs w:val="21"/>
        </w:rPr>
        <w:t>表4</w:t>
      </w:r>
      <w:r>
        <w:rPr>
          <w:rFonts w:hint="eastAsia"/>
          <w:color w:val="000000"/>
          <w:szCs w:val="21"/>
        </w:rPr>
        <w:t xml:space="preserve"> </w:t>
      </w:r>
      <w:r>
        <w:rPr>
          <w:rFonts w:hint="eastAsia" w:ascii="宋体" w:hAnsi="宋体"/>
          <w:color w:val="000000"/>
          <w:szCs w:val="21"/>
        </w:rPr>
        <w:t>电动自行车用锂离子蓄电池（Q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bl>
      <w:tblPr>
        <w:tblStyle w:val="6"/>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21"/>
        <w:gridCol w:w="255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序号</w:t>
            </w:r>
          </w:p>
        </w:tc>
        <w:tc>
          <w:tcPr>
            <w:tcW w:w="3021"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检验项目</w:t>
            </w:r>
          </w:p>
        </w:tc>
        <w:tc>
          <w:tcPr>
            <w:tcW w:w="2551"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检验依据</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1</w:t>
            </w:r>
          </w:p>
        </w:tc>
        <w:tc>
          <w:tcPr>
            <w:tcW w:w="3021" w:type="dxa"/>
            <w:noWrap w:val="0"/>
            <w:vAlign w:val="center"/>
          </w:tcPr>
          <w:p>
            <w:pPr>
              <w:jc w:val="center"/>
              <w:rPr>
                <w:rFonts w:ascii="宋体" w:hAnsi="宋体" w:cs="宋体"/>
                <w:color w:val="000000"/>
                <w:szCs w:val="21"/>
              </w:rPr>
            </w:pPr>
            <w:r>
              <w:rPr>
                <w:rFonts w:hint="eastAsia"/>
                <w:color w:val="000000"/>
                <w:szCs w:val="21"/>
              </w:rPr>
              <w:t>常温容量</w:t>
            </w:r>
          </w:p>
        </w:tc>
        <w:tc>
          <w:tcPr>
            <w:tcW w:w="2551" w:type="dxa"/>
            <w:noWrap w:val="0"/>
            <w:vAlign w:val="center"/>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2</w:t>
            </w:r>
          </w:p>
        </w:tc>
        <w:tc>
          <w:tcPr>
            <w:tcW w:w="3021" w:type="dxa"/>
            <w:noWrap w:val="0"/>
            <w:vAlign w:val="center"/>
          </w:tcPr>
          <w:p>
            <w:pPr>
              <w:jc w:val="center"/>
              <w:rPr>
                <w:rFonts w:hint="eastAsia"/>
                <w:color w:val="000000"/>
                <w:szCs w:val="21"/>
              </w:rPr>
            </w:pPr>
            <w:r>
              <w:rPr>
                <w:rFonts w:hint="eastAsia"/>
                <w:color w:val="000000"/>
                <w:szCs w:val="21"/>
              </w:rPr>
              <w:t>I</w:t>
            </w:r>
            <w:r>
              <w:rPr>
                <w:color w:val="000000"/>
                <w:vertAlign w:val="subscript"/>
              </w:rPr>
              <w:t>2</w:t>
            </w:r>
            <w:r>
              <w:rPr>
                <w:color w:val="000000"/>
              </w:rPr>
              <w:t>(A)</w:t>
            </w:r>
            <w:r>
              <w:rPr>
                <w:rFonts w:hint="eastAsia"/>
                <w:color w:val="000000"/>
              </w:rPr>
              <w:t>放电容量</w:t>
            </w:r>
          </w:p>
        </w:tc>
        <w:tc>
          <w:tcPr>
            <w:tcW w:w="2551"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3</w:t>
            </w:r>
          </w:p>
        </w:tc>
        <w:tc>
          <w:tcPr>
            <w:tcW w:w="3021" w:type="dxa"/>
            <w:noWrap w:val="0"/>
            <w:vAlign w:val="center"/>
          </w:tcPr>
          <w:p>
            <w:pPr>
              <w:jc w:val="center"/>
              <w:rPr>
                <w:rFonts w:ascii="宋体" w:hAnsi="宋体" w:cs="宋体"/>
                <w:color w:val="000000"/>
                <w:szCs w:val="21"/>
              </w:rPr>
            </w:pPr>
            <w:r>
              <w:rPr>
                <w:rFonts w:hint="eastAsia"/>
                <w:color w:val="000000"/>
                <w:szCs w:val="21"/>
              </w:rPr>
              <w:t>低温（-10℃）容量</w:t>
            </w:r>
          </w:p>
        </w:tc>
        <w:tc>
          <w:tcPr>
            <w:tcW w:w="2551"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4</w:t>
            </w:r>
          </w:p>
        </w:tc>
        <w:tc>
          <w:tcPr>
            <w:tcW w:w="3021" w:type="dxa"/>
            <w:noWrap w:val="0"/>
            <w:vAlign w:val="center"/>
          </w:tcPr>
          <w:p>
            <w:pPr>
              <w:jc w:val="center"/>
              <w:rPr>
                <w:rFonts w:ascii="宋体" w:hAnsi="宋体" w:cs="宋体"/>
                <w:color w:val="000000"/>
                <w:szCs w:val="21"/>
              </w:rPr>
            </w:pPr>
            <w:r>
              <w:rPr>
                <w:rFonts w:hint="eastAsia"/>
                <w:color w:val="000000"/>
                <w:szCs w:val="21"/>
              </w:rPr>
              <w:t>短路</w:t>
            </w:r>
          </w:p>
        </w:tc>
        <w:tc>
          <w:tcPr>
            <w:tcW w:w="2551"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5</w:t>
            </w:r>
          </w:p>
        </w:tc>
        <w:tc>
          <w:tcPr>
            <w:tcW w:w="3021" w:type="dxa"/>
            <w:noWrap w:val="0"/>
            <w:vAlign w:val="center"/>
          </w:tcPr>
          <w:p>
            <w:pPr>
              <w:jc w:val="center"/>
              <w:rPr>
                <w:rFonts w:ascii="宋体" w:hAnsi="宋体" w:cs="宋体"/>
                <w:color w:val="000000"/>
                <w:szCs w:val="21"/>
              </w:rPr>
            </w:pPr>
            <w:r>
              <w:rPr>
                <w:rFonts w:hint="eastAsia"/>
                <w:color w:val="000000"/>
                <w:szCs w:val="21"/>
              </w:rPr>
              <w:t>过充电</w:t>
            </w:r>
          </w:p>
        </w:tc>
        <w:tc>
          <w:tcPr>
            <w:tcW w:w="2551"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napToGrid w:val="0"/>
              <w:spacing w:line="440" w:lineRule="exact"/>
              <w:jc w:val="center"/>
              <w:rPr>
                <w:rFonts w:hint="eastAsia" w:ascii="宋体" w:hAnsi="宋体"/>
                <w:color w:val="000000"/>
                <w:szCs w:val="21"/>
              </w:rPr>
            </w:pPr>
            <w:r>
              <w:rPr>
                <w:rFonts w:hint="eastAsia" w:ascii="宋体" w:hAnsi="宋体"/>
                <w:color w:val="000000"/>
                <w:szCs w:val="21"/>
              </w:rPr>
              <w:t>6</w:t>
            </w:r>
          </w:p>
        </w:tc>
        <w:tc>
          <w:tcPr>
            <w:tcW w:w="3021" w:type="dxa"/>
            <w:noWrap w:val="0"/>
            <w:vAlign w:val="center"/>
          </w:tcPr>
          <w:p>
            <w:pPr>
              <w:jc w:val="center"/>
              <w:rPr>
                <w:rFonts w:ascii="宋体" w:hAnsi="宋体" w:cs="宋体"/>
                <w:color w:val="000000"/>
                <w:szCs w:val="21"/>
              </w:rPr>
            </w:pPr>
            <w:r>
              <w:rPr>
                <w:rFonts w:hint="eastAsia"/>
                <w:color w:val="000000"/>
                <w:szCs w:val="21"/>
              </w:rPr>
              <w:t>过放电</w:t>
            </w:r>
          </w:p>
        </w:tc>
        <w:tc>
          <w:tcPr>
            <w:tcW w:w="2551" w:type="dxa"/>
            <w:noWrap w:val="0"/>
            <w:vAlign w:val="top"/>
          </w:tcPr>
          <w:p>
            <w:pPr>
              <w:snapToGrid w:val="0"/>
              <w:spacing w:line="440" w:lineRule="exact"/>
              <w:jc w:val="center"/>
              <w:rPr>
                <w:rFonts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c>
          <w:tcPr>
            <w:tcW w:w="2552" w:type="dxa"/>
            <w:noWrap w:val="0"/>
            <w:vAlign w:val="top"/>
          </w:tcPr>
          <w:p>
            <w:pPr>
              <w:snapToGrid w:val="0"/>
              <w:spacing w:line="440" w:lineRule="exact"/>
              <w:jc w:val="center"/>
              <w:rPr>
                <w:rFonts w:hint="eastAsia" w:ascii="宋体" w:hAnsi="宋体"/>
                <w:color w:val="000000"/>
                <w:szCs w:val="21"/>
              </w:rPr>
            </w:pPr>
            <w:r>
              <w:rPr>
                <w:rFonts w:hint="eastAsia" w:ascii="宋体" w:hAnsi="宋体"/>
                <w:color w:val="000000"/>
                <w:szCs w:val="21"/>
              </w:rPr>
              <w:t>Q</w:t>
            </w:r>
            <w:r>
              <w:rPr>
                <w:rFonts w:ascii="宋体" w:hAnsi="宋体"/>
                <w:color w:val="000000"/>
                <w:szCs w:val="21"/>
              </w:rPr>
              <w:t xml:space="preserve">B/T </w:t>
            </w:r>
            <w:r>
              <w:rPr>
                <w:rFonts w:hint="eastAsia" w:ascii="宋体" w:hAnsi="宋体"/>
                <w:color w:val="000000"/>
                <w:szCs w:val="21"/>
              </w:rPr>
              <w:t>2947.3</w:t>
            </w:r>
            <w:r>
              <w:rPr>
                <w:color w:val="000000"/>
                <w:szCs w:val="21"/>
              </w:rPr>
              <w:t>—</w:t>
            </w:r>
            <w:r>
              <w:rPr>
                <w:rFonts w:hint="eastAsia" w:ascii="宋体" w:hAnsi="宋体"/>
                <w:color w:val="000000"/>
                <w:szCs w:val="21"/>
              </w:rPr>
              <w:t>2008</w:t>
            </w:r>
          </w:p>
        </w:tc>
      </w:tr>
    </w:tbl>
    <w:p>
      <w:pPr>
        <w:adjustRightInd w:val="0"/>
        <w:snapToGrid w:val="0"/>
        <w:spacing w:line="440" w:lineRule="exact"/>
        <w:ind w:firstLine="420" w:firstLineChars="200"/>
        <w:rPr>
          <w:rFonts w:hint="eastAsia" w:ascii="宋体" w:hAnsi="宋体"/>
          <w:color w:val="000000"/>
          <w:szCs w:val="21"/>
        </w:rPr>
      </w:pPr>
      <w:r>
        <w:rPr>
          <w:rFonts w:hint="eastAsia"/>
          <w:color w:val="000000"/>
          <w:szCs w:val="21"/>
        </w:rPr>
        <w:t>执行企业标准、团体标准、地方标准的产品，检验项目参照上述内容执行。</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凡是注日期的文件，其随后所有的修改单（不包括勘误的内容）或修订版不适用于本细则。凡是不注日期的文件，其最新版本适用于本细则。</w:t>
      </w:r>
    </w:p>
    <w:p>
      <w:pPr>
        <w:spacing w:line="440" w:lineRule="exact"/>
        <w:rPr>
          <w:rFonts w:hint="eastAsia" w:ascii="黑体" w:hAnsi="黑体" w:eastAsia="黑体"/>
          <w:color w:val="000000"/>
          <w:szCs w:val="21"/>
        </w:rPr>
      </w:pPr>
    </w:p>
    <w:p>
      <w:pPr>
        <w:spacing w:line="440" w:lineRule="exact"/>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GB/T 22199.1—2017 电动助力车用阀控式铅酸蓄电池 第1部分：技术条件</w:t>
      </w:r>
    </w:p>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GB/T 36972—2018 电动自行车用锂离子蓄电池</w:t>
      </w:r>
    </w:p>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QB/T 2947.3—2008 电动自行车用蓄电池及充电器 第3部分：</w:t>
      </w:r>
      <w:bookmarkStart w:id="0" w:name="_GoBack"/>
      <w:bookmarkEnd w:id="0"/>
      <w:r>
        <w:rPr>
          <w:rFonts w:hint="eastAsia" w:ascii="Times New Roman" w:hAnsi="Times New Roman" w:eastAsia="宋体" w:cs="Times New Roman"/>
          <w:snapToGrid/>
          <w:kern w:val="2"/>
          <w:szCs w:val="21"/>
        </w:rPr>
        <w:t>锂离子蓄电池及充电器</w:t>
      </w:r>
    </w:p>
    <w:p>
      <w:pPr>
        <w:widowControl w:val="0"/>
        <w:kinsoku/>
        <w:autoSpaceDE/>
        <w:autoSpaceDN/>
        <w:adjustRightInd/>
        <w:snapToGrid w:val="0"/>
        <w:jc w:val="left"/>
        <w:textAlignment w:val="auto"/>
        <w:rPr>
          <w:rFonts w:hint="eastAsia" w:ascii="Times New Roman" w:hAnsi="Times New Roman" w:eastAsia="宋体" w:cs="Times New Roman"/>
          <w:snapToGrid/>
          <w:kern w:val="2"/>
          <w:szCs w:val="21"/>
        </w:rPr>
      </w:pPr>
      <w:r>
        <w:rPr>
          <w:rFonts w:hint="eastAsia" w:ascii="Times New Roman" w:hAnsi="Times New Roman" w:eastAsia="宋体" w:cs="Times New Roman"/>
          <w:snapToGrid/>
          <w:kern w:val="2"/>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adjustRightInd w:val="0"/>
        <w:snapToGrid w:val="0"/>
        <w:spacing w:line="440" w:lineRule="exact"/>
        <w:ind w:firstLine="420" w:firstLineChars="200"/>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Pr>
        <w:spacing w:before="1" w:line="230" w:lineRule="auto"/>
        <w:ind w:left="429"/>
        <w:outlineLvl w:val="0"/>
        <w:rPr>
          <w:rFonts w:ascii="仿宋" w:hAnsi="仿宋" w:eastAsia="仿宋" w:cs="仿宋"/>
          <w:sz w:val="20"/>
          <w:szCs w:val="20"/>
        </w:rPr>
      </w:pPr>
      <w:r>
        <w:rPr>
          <w:rFonts w:eastAsia="黑体"/>
          <w:szCs w:val="21"/>
        </w:rPr>
        <w:t xml:space="preserve">4 </w:t>
      </w:r>
      <w:r>
        <w:rPr>
          <w:rFonts w:ascii="Times New Roman" w:hAnsi="Times New Roman" w:eastAsia="黑体" w:cs="Times New Roman"/>
          <w:szCs w:val="21"/>
        </w:rPr>
        <w:t>异议处理</w:t>
      </w:r>
    </w:p>
    <w:p>
      <w:pPr>
        <w:snapToGrid w:val="0"/>
        <w:spacing w:line="44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按照《东莞市市场监督管理局产品质量监督抽查管理工作指引》  (东市监质监〔2020〕9 号)第九章中的相关内容进行。</w:t>
      </w:r>
    </w:p>
    <w:p>
      <w:pPr>
        <w:snapToGrid w:val="0"/>
        <w:spacing w:line="440" w:lineRule="exact"/>
        <w:ind w:firstLine="420" w:firstLineChars="200"/>
        <w:rPr>
          <w:rFonts w:ascii="Times New Roman" w:hAnsi="Times New Roman" w:eastAsia="宋体" w:cs="Times New Roman"/>
          <w:szCs w:val="21"/>
        </w:rPr>
      </w:pPr>
    </w:p>
    <w:p>
      <w:pPr>
        <w:spacing w:line="360" w:lineRule="auto"/>
        <w:ind w:firstLine="420" w:firstLineChars="200"/>
        <w:rPr>
          <w:rFonts w:ascii="Times New Roman" w:hAnsi="Times New Roman" w:eastAsia="黑体" w:cs="Times New Roman"/>
          <w:szCs w:val="21"/>
        </w:rPr>
      </w:pPr>
      <w:r>
        <w:rPr>
          <w:rFonts w:hint="eastAsia" w:ascii="Times New Roman" w:hAnsi="Times New Roman" w:eastAsia="黑体" w:cs="Times New Roman"/>
          <w:szCs w:val="21"/>
          <w:lang w:val="en-US" w:eastAsia="zh-CN"/>
        </w:rPr>
        <w:t xml:space="preserve">5  </w:t>
      </w:r>
      <w:r>
        <w:rPr>
          <w:rFonts w:ascii="Times New Roman" w:hAnsi="Times New Roman" w:eastAsia="黑体" w:cs="Times New Roman"/>
          <w:szCs w:val="21"/>
        </w:rPr>
        <w:t>其他 (注意事项)</w:t>
      </w:r>
    </w:p>
    <w:p>
      <w:pPr>
        <w:snapToGrid w:val="0"/>
        <w:spacing w:line="440" w:lineRule="exact"/>
        <w:ind w:firstLine="420" w:firstLineChars="200"/>
        <w:rPr>
          <w:color w:val="000000"/>
          <w:szCs w:val="21"/>
        </w:rPr>
      </w:pPr>
      <w:r>
        <w:rPr>
          <w:rFonts w:ascii="Times New Roman" w:hAnsi="Times New Roman" w:eastAsia="宋体" w:cs="Times New Roman"/>
          <w:szCs w:val="21"/>
        </w:rPr>
        <w:t>本细则未明确的监督抽查抽样检验相关技术规范，均按照《产品质量监督抽查管理暂行办法》 (国家市场监督管理总局第 18 号令) 、《产品质量监督抽查抽样检验技术服务规范》 (T/GDAQI 020-2022) 、《东莞市市场监督管理局产品质量监督抽查管理工作指引》  (东市监质监〔2020〕9 号) 规定执行。</w:t>
      </w:r>
    </w:p>
    <w:sectPr>
      <w:pgSz w:w="11907" w:h="16840"/>
      <w:pgMar w:top="1431" w:right="1459" w:bottom="0" w:left="143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NTFkZTc2NzUxYjliN2U0OTNhZmY4MGIxODVhMTgifQ=="/>
  </w:docVars>
  <w:rsids>
    <w:rsidRoot w:val="00CD2444"/>
    <w:rsid w:val="000352E0"/>
    <w:rsid w:val="004A155D"/>
    <w:rsid w:val="0062594A"/>
    <w:rsid w:val="007E2996"/>
    <w:rsid w:val="008E52BB"/>
    <w:rsid w:val="00921BE4"/>
    <w:rsid w:val="00AD7C8A"/>
    <w:rsid w:val="00CD2444"/>
    <w:rsid w:val="00D3306B"/>
    <w:rsid w:val="00DB16B9"/>
    <w:rsid w:val="00F514D3"/>
    <w:rsid w:val="00F705B3"/>
    <w:rsid w:val="074327A4"/>
    <w:rsid w:val="081952B3"/>
    <w:rsid w:val="0B1D0680"/>
    <w:rsid w:val="10794994"/>
    <w:rsid w:val="139273EA"/>
    <w:rsid w:val="15A628C4"/>
    <w:rsid w:val="1BCA5FEE"/>
    <w:rsid w:val="2BBB02AC"/>
    <w:rsid w:val="3CF945A3"/>
    <w:rsid w:val="4B48235C"/>
    <w:rsid w:val="5152202A"/>
    <w:rsid w:val="51FA0B03"/>
    <w:rsid w:val="56B929F3"/>
    <w:rsid w:val="5D0E7521"/>
    <w:rsid w:val="6126113D"/>
    <w:rsid w:val="63686863"/>
    <w:rsid w:val="63AD61A8"/>
    <w:rsid w:val="67E27EFC"/>
    <w:rsid w:val="68671A7A"/>
    <w:rsid w:val="68693526"/>
    <w:rsid w:val="6C690547"/>
    <w:rsid w:val="6FF95D73"/>
    <w:rsid w:val="71FB259A"/>
    <w:rsid w:val="72663713"/>
    <w:rsid w:val="7C82484B"/>
    <w:rsid w:val="7F112825"/>
    <w:rsid w:val="7F98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jc w:val="center"/>
      <w:outlineLvl w:val="0"/>
    </w:pPr>
    <w:rPr>
      <w:rFonts w:ascii="方正小标宋简体" w:eastAsia="方正小标宋简体"/>
      <w:kern w:val="44"/>
      <w:sz w:val="3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jc w:val="center"/>
    </w:pPr>
    <w:rPr>
      <w:sz w:val="18"/>
      <w:szCs w:val="18"/>
    </w:rPr>
  </w:style>
  <w:style w:type="paragraph" w:styleId="5">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character" w:styleId="8">
    <w:name w:val="page number"/>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页眉 Char"/>
    <w:basedOn w:val="7"/>
    <w:link w:val="4"/>
    <w:autoRedefine/>
    <w:qFormat/>
    <w:uiPriority w:val="0"/>
    <w:rPr>
      <w:rFonts w:eastAsia="Arial"/>
      <w:snapToGrid w:val="0"/>
      <w:color w:val="000000"/>
      <w:sz w:val="18"/>
      <w:szCs w:val="18"/>
    </w:rPr>
  </w:style>
  <w:style w:type="character" w:customStyle="1" w:styleId="11">
    <w:name w:val="页脚 Char"/>
    <w:basedOn w:val="7"/>
    <w:link w:val="3"/>
    <w:autoRedefine/>
    <w:qFormat/>
    <w:uiPriority w:val="0"/>
    <w:rPr>
      <w:rFonts w:eastAsia="Arial"/>
      <w:snapToGrid w:val="0"/>
      <w:color w:val="000000"/>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1929</Words>
  <Characters>2173</Characters>
  <Lines>16</Lines>
  <Paragraphs>4</Paragraphs>
  <TotalTime>0</TotalTime>
  <ScaleCrop>false</ScaleCrop>
  <LinksUpToDate>false</LinksUpToDate>
  <CharactersWithSpaces>2255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2023-05-11T07:47:00Z</dcterms:created>
  <dc:creator>sh</dc:creator>
  <cp:lastModifiedBy>甜橙</cp:lastModifiedBy>
  <cp:lastPrinted>2023-08-24T07:29:00Z</cp:lastPrinted>
  <dcterms:modified xsi:type="dcterms:W3CDTF">2024-04-10T09:04:17Z</dcterms:modified>
  <dc:title>1.1  简介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2023-05-09T10:51:52Z</vt:filetime>
  </property>
  <property fmtid="{D5CDD505-2E9C-101B-9397-08002B2CF9AE}" pid="4" name="KSOProductBuildVer">
    <vt:lpwstr>2052-12.1.0.16729</vt:lpwstr>
  </property>
  <property fmtid="{D5CDD505-2E9C-101B-9397-08002B2CF9AE}" pid="5" name="ICV">
    <vt:lpwstr>D39093713BE84EFAB1F460644338594E_13</vt:lpwstr>
  </property>
</Properties>
</file>