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sz w:val="36"/>
          <w:szCs w:val="36"/>
        </w:rPr>
      </w:pPr>
      <w:r>
        <w:rPr>
          <w:rFonts w:hint="eastAsia"/>
          <w:sz w:val="30"/>
          <w:szCs w:val="30"/>
          <w:lang w:val="en-US" w:eastAsia="zh-CN"/>
        </w:rPr>
        <w:t xml:space="preserve">  </w:t>
      </w:r>
      <w:r>
        <w:rPr>
          <w:rFonts w:hint="eastAsia"/>
          <w:sz w:val="36"/>
          <w:szCs w:val="36"/>
          <w:lang w:val="en-US" w:eastAsia="zh-CN"/>
        </w:rPr>
        <w:t>东莞市</w:t>
      </w:r>
      <w:r>
        <w:rPr>
          <w:rFonts w:hint="eastAsia"/>
          <w:sz w:val="36"/>
          <w:szCs w:val="36"/>
        </w:rPr>
        <w:t>校服产品质量监督抽查实施细则</w:t>
      </w:r>
    </w:p>
    <w:p>
      <w:pPr>
        <w:bidi w:val="0"/>
        <w:adjustRightInd/>
        <w:snapToGrid/>
        <w:spacing w:line="560" w:lineRule="exact"/>
        <w:jc w:val="center"/>
        <w:rPr>
          <w:rFonts w:hint="eastAsia" w:ascii="仿宋_GB2312" w:hAnsi="仿宋_GB2312" w:eastAsia="仿宋_GB2312" w:cs="仿宋_GB2312"/>
          <w:sz w:val="32"/>
          <w:szCs w:val="32"/>
          <w:lang w:eastAsia="zh-CN"/>
        </w:rPr>
      </w:pPr>
      <w:bookmarkStart w:id="0" w:name="_GoBack"/>
      <w:bookmarkEnd w:id="0"/>
      <w:r>
        <w:rPr>
          <w:rFonts w:hint="eastAsia" w:ascii="楷体_GB2312" w:hAnsi="楷体_GB2312" w:eastAsia="楷体_GB2312" w:cs="楷体_GB2312"/>
          <w:sz w:val="32"/>
          <w:szCs w:val="32"/>
          <w:lang w:eastAsia="zh-CN"/>
        </w:rPr>
        <w:t>（2024年版）</w:t>
      </w:r>
    </w:p>
    <w:p>
      <w:pPr>
        <w:bidi w:val="0"/>
        <w:adjustRightInd/>
        <w:snapToGrid/>
        <w:spacing w:line="560" w:lineRule="exact"/>
        <w:rPr>
          <w:rFonts w:hint="eastAsia" w:ascii="仿宋_GB2312" w:hAnsi="仿宋_GB2312" w:eastAsia="仿宋_GB2312" w:cs="仿宋_GB2312"/>
          <w:sz w:val="32"/>
          <w:szCs w:val="32"/>
        </w:rPr>
      </w:pPr>
    </w:p>
    <w:p>
      <w:pPr>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1 抽样方法</w:t>
      </w:r>
    </w:p>
    <w:p>
      <w:pPr>
        <w:bidi w:val="0"/>
        <w:adjustRightInd/>
        <w:snapToGrid/>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以随机抽样的方式在被抽样生产者、销售者的待销产品中抽取。</w:t>
      </w:r>
    </w:p>
    <w:p>
      <w:pPr>
        <w:bidi w:val="0"/>
        <w:adjustRightInd/>
        <w:snapToGrid/>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随机数一般可使用随机数表等方法产生。</w:t>
      </w:r>
    </w:p>
    <w:p>
      <w:pPr>
        <w:bidi w:val="0"/>
        <w:adjustRightInd/>
        <w:snapToGrid/>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每批次抽样数量2件/套/条，其中1件/套/条作为检验样品，1件/套/条作为备用样品。</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2 检验依据</w:t>
      </w:r>
    </w:p>
    <w:tbl>
      <w:tblPr>
        <w:tblStyle w:val="3"/>
        <w:tblW w:w="46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3111"/>
        <w:gridCol w:w="3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blHeader/>
          <w:jc w:val="center"/>
        </w:trPr>
        <w:tc>
          <w:tcPr>
            <w:tcW w:w="572" w:type="pct"/>
            <w:noWrap w:val="0"/>
            <w:vAlign w:val="top"/>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960" w:type="pct"/>
            <w:noWrap w:val="0"/>
            <w:vAlign w:val="top"/>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检验项目</w:t>
            </w:r>
          </w:p>
        </w:tc>
        <w:tc>
          <w:tcPr>
            <w:tcW w:w="2466" w:type="pct"/>
            <w:noWrap w:val="0"/>
            <w:vAlign w:val="top"/>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572"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960"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甲醛含量</w:t>
            </w:r>
          </w:p>
        </w:tc>
        <w:tc>
          <w:tcPr>
            <w:tcW w:w="2466"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572"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960"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pH值</w:t>
            </w:r>
          </w:p>
        </w:tc>
        <w:tc>
          <w:tcPr>
            <w:tcW w:w="2466"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572"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960"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可分解致癌芳香胺染料</w:t>
            </w:r>
          </w:p>
        </w:tc>
        <w:tc>
          <w:tcPr>
            <w:tcW w:w="2466"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17592-2011</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572"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960"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耐水色牢度</w:t>
            </w:r>
          </w:p>
        </w:tc>
        <w:tc>
          <w:tcPr>
            <w:tcW w:w="2466"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572"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960"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耐酸汗渍色牢度</w:t>
            </w:r>
          </w:p>
        </w:tc>
        <w:tc>
          <w:tcPr>
            <w:tcW w:w="2466"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572"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960"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耐碱汗渍色牢度</w:t>
            </w:r>
          </w:p>
        </w:tc>
        <w:tc>
          <w:tcPr>
            <w:tcW w:w="2466"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572"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960"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耐干摩擦色牢度</w:t>
            </w:r>
          </w:p>
        </w:tc>
        <w:tc>
          <w:tcPr>
            <w:tcW w:w="2466"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572"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960"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耐湿摩擦色牢度</w:t>
            </w:r>
          </w:p>
        </w:tc>
        <w:tc>
          <w:tcPr>
            <w:tcW w:w="2466"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572"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1960"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耐（皂）洗色牢度</w:t>
            </w:r>
          </w:p>
        </w:tc>
        <w:tc>
          <w:tcPr>
            <w:tcW w:w="2466"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3921-2008</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12490-2014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572"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960"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耐光色牢度</w:t>
            </w:r>
          </w:p>
        </w:tc>
        <w:tc>
          <w:tcPr>
            <w:tcW w:w="2466"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8427-2008</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8427-2019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572"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1960"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绳带要求</w:t>
            </w:r>
          </w:p>
        </w:tc>
        <w:tc>
          <w:tcPr>
            <w:tcW w:w="2466"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572" w:type="pct"/>
            <w:noWrap w:val="0"/>
            <w:vAlign w:val="center"/>
          </w:tcPr>
          <w:p>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12</w:t>
            </w:r>
          </w:p>
        </w:tc>
        <w:tc>
          <w:tcPr>
            <w:tcW w:w="1960" w:type="pct"/>
            <w:noWrap w:val="0"/>
            <w:vAlign w:val="center"/>
          </w:tcPr>
          <w:p>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rPr>
              <w:t>附件锐利性</w:t>
            </w:r>
          </w:p>
        </w:tc>
        <w:tc>
          <w:tcPr>
            <w:tcW w:w="2466" w:type="pct"/>
            <w:noWrap w:val="0"/>
            <w:vAlign w:val="center"/>
          </w:tcPr>
          <w:p>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rPr>
              <w:t>GB/T 31702</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572" w:type="pct"/>
            <w:noWrap w:val="0"/>
            <w:vAlign w:val="center"/>
          </w:tcPr>
          <w:p>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13</w:t>
            </w:r>
          </w:p>
        </w:tc>
        <w:tc>
          <w:tcPr>
            <w:tcW w:w="1960" w:type="pct"/>
            <w:noWrap w:val="0"/>
            <w:vAlign w:val="center"/>
          </w:tcPr>
          <w:p>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rPr>
              <w:t>金属针</w:t>
            </w:r>
          </w:p>
        </w:tc>
        <w:tc>
          <w:tcPr>
            <w:tcW w:w="2466" w:type="pct"/>
            <w:noWrap w:val="0"/>
            <w:vAlign w:val="center"/>
          </w:tcPr>
          <w:p>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rPr>
              <w:t>GB 31701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572" w:type="pct"/>
            <w:noWrap w:val="0"/>
            <w:vAlign w:val="center"/>
          </w:tcPr>
          <w:p>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14</w:t>
            </w:r>
          </w:p>
        </w:tc>
        <w:tc>
          <w:tcPr>
            <w:tcW w:w="1960" w:type="pct"/>
            <w:noWrap w:val="0"/>
            <w:vAlign w:val="center"/>
          </w:tcPr>
          <w:p>
            <w:pPr>
              <w:spacing w:line="56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絮用纤维原料要求</w:t>
            </w:r>
          </w:p>
        </w:tc>
        <w:tc>
          <w:tcPr>
            <w:tcW w:w="2466" w:type="pct"/>
            <w:noWrap w:val="0"/>
            <w:vAlign w:val="center"/>
          </w:tcPr>
          <w:p>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GB 18383-2007 5.1、5.2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572" w:type="pct"/>
            <w:noWrap w:val="0"/>
            <w:vAlign w:val="center"/>
          </w:tcPr>
          <w:p>
            <w:pPr>
              <w:bidi w:val="0"/>
              <w:adjustRightInd/>
              <w:snapToGrid/>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p>
        </w:tc>
        <w:tc>
          <w:tcPr>
            <w:tcW w:w="1960"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纤维含量</w:t>
            </w:r>
          </w:p>
        </w:tc>
        <w:tc>
          <w:tcPr>
            <w:tcW w:w="2466" w:type="pct"/>
            <w:noWrap w:val="0"/>
            <w:vAlign w:val="center"/>
          </w:tcPr>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01057.1-2007</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01057.2-2007</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01057.3-2007</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01057.4-2007</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2910.1-2009</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2910.2-2009</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2910.3-2009</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2910.4-2022</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2910.6-2009</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2910.7-2009</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2910.8-2009</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2910.11-2009</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2910.12-2023</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2910.18-2009</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2910.20-2009</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2910.22-2009</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2910.101-2009</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38015-2019</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01101-2008</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01112-2012</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01026-2017</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01095-2002</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30003-2009</w:t>
            </w:r>
          </w:p>
          <w:p>
            <w:pPr>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16988-2013等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5000" w:type="pct"/>
            <w:gridSpan w:val="3"/>
            <w:noWrap w:val="0"/>
            <w:vAlign w:val="center"/>
          </w:tcPr>
          <w:p>
            <w:pPr>
              <w:bidi w:val="0"/>
              <w:adjustRightInd/>
              <w:snapToGri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p>
            <w:pPr>
              <w:bidi w:val="0"/>
              <w:adjustRightInd/>
              <w:snapToGri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1.产品使用说明标注的纤维含量不一致时，应以耐久标签标注的纤维含量进行考核。如果未标注产品主要原材料的纤维成分和含量，则纤维含量项目不判定。</w:t>
            </w:r>
          </w:p>
          <w:p>
            <w:pPr>
              <w:bidi w:val="0"/>
              <w:adjustRightInd/>
              <w:snapToGri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2.考虑到样品存在的不均匀性和检验的可靠性，样品中检测出微量其他纤维（未明示）时，如果其他纤维（未明示）的含量≤0.5%，或样品明示含微量其他纤维而未检出时，该微量其他纤维不计入总量进行判定。</w:t>
            </w:r>
          </w:p>
          <w:p>
            <w:pPr>
              <w:bidi w:val="0"/>
              <w:adjustRightInd/>
              <w:snapToGri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3.色牢度试验采用单纤维贴衬，产品标准另有规定的，按产品标准执行。</w:t>
            </w:r>
          </w:p>
          <w:p>
            <w:pPr>
              <w:bidi w:val="0"/>
              <w:adjustRightInd/>
              <w:snapToGri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4.针织产品耐摩擦色牢度只考核直向。</w:t>
            </w:r>
          </w:p>
          <w:p>
            <w:pPr>
              <w:bidi w:val="0"/>
              <w:adjustRightInd/>
              <w:snapToGri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5.本色及漂白产品不考核色牢度（耐光色牢度除外）、可分解致癌芳香胺染料。</w:t>
            </w:r>
          </w:p>
          <w:p>
            <w:pPr>
              <w:bidi w:val="0"/>
              <w:adjustRightInd/>
              <w:snapToGri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6.产品未标注产品标准，标注产品标准不正确，或者无法获得明示的有效企业标准时，检测纤维含量以及GB 18401、GB 31701相关项目。</w:t>
            </w:r>
          </w:p>
          <w:p>
            <w:pPr>
              <w:bidi w:val="0"/>
              <w:adjustRightInd/>
              <w:snapToGri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7.pH值的测定用0.1 mol/L氯化钾溶液作为萃取介质。</w:t>
            </w:r>
          </w:p>
          <w:p>
            <w:pPr>
              <w:bidi w:val="0"/>
              <w:adjustRightInd/>
              <w:snapToGri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8.只检测产品相应标准中有考核要求的项目。</w:t>
            </w:r>
          </w:p>
        </w:tc>
      </w:tr>
    </w:tbl>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执行企业标准、团体标准、地方标准的产品，检验项目参照上述内容执行。</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凡是注日期的文件，其随后所有的修改单（不包括勘误的内容）或修订版不适用于本细则。凡是不注日期的文件，其最新版本适用于本细则。</w:t>
      </w:r>
    </w:p>
    <w:p>
      <w:pPr>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3 判定规则</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3.1依据标准</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18401-2010   国家纺织产品基本安全技术规范</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31701-2015   婴幼儿及儿童纺织产品安全技术规范</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31888-2015 中小学生校服</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22854-2009 针织学生服</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23328-2009 机织学生服</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2662-2017  棉服装</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29862-2013 纺织品纤维含量的标识</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31900-2015 机织儿童服装</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73020-2019 针织休闲服装</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73005-2021 低含毛混纺及仿毛针织品</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73010-2016 针织工艺衫</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73018-2021 毛针织品</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81007-2022 单、夹服装</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FZ/T 81004-2022 连衣裙、裙套</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现行有效的企业标准、团体标准、地方标准及产品明示质量要求</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3.2判定原则</w:t>
      </w:r>
    </w:p>
    <w:p>
      <w:pPr>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经检验，检验项目全部合格，判定为被抽查产品所检项目未发现不合格；检验项目中任一项或一项以上不合格，判定为被抽查产品不合格。</w:t>
      </w:r>
    </w:p>
    <w:p>
      <w:pPr>
        <w:bidi w:val="0"/>
        <w:adjustRightInd/>
        <w:snapToGrid/>
        <w:spacing w:line="560" w:lineRule="exact"/>
        <w:ind w:firstLine="636" w:firstLineChars="19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若被检产品明示的质量要求高于本细则中检验项目依据的标准要求时，应按被检产品明示的质量要求判定。</w:t>
      </w:r>
    </w:p>
    <w:p>
      <w:pPr>
        <w:bidi w:val="0"/>
        <w:adjustRightInd/>
        <w:snapToGrid/>
        <w:spacing w:line="560" w:lineRule="exact"/>
        <w:ind w:firstLine="636" w:firstLineChars="19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若被检产品明示的质量要求低于本细则中检验项目依据的强制性标准要求时，应按照强制性标准要求判定。</w:t>
      </w:r>
    </w:p>
    <w:p>
      <w:pPr>
        <w:bidi w:val="0"/>
        <w:adjustRightInd/>
        <w:snapToGrid/>
        <w:spacing w:line="560" w:lineRule="exact"/>
        <w:ind w:firstLine="636" w:firstLineChars="19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若被检产品明示的质量要求低于或包含本细则中检验项目依据的推荐性标准要求时，应以被检产品明示的质量要求判定。</w:t>
      </w:r>
    </w:p>
    <w:p>
      <w:pPr>
        <w:bidi w:val="0"/>
        <w:adjustRightInd/>
        <w:snapToGrid/>
        <w:spacing w:line="560" w:lineRule="exact"/>
        <w:ind w:firstLine="636" w:firstLineChars="19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若被检产品明示的质量要求缺少本细则中检验项目依据的强制性标准要求时，应按照强制性标准要求判定。</w:t>
      </w:r>
    </w:p>
    <w:p>
      <w:r>
        <w:rPr>
          <w:rFonts w:hint="eastAsia" w:ascii="仿宋_GB2312" w:hAnsi="仿宋_GB2312" w:eastAsia="仿宋_GB2312" w:cs="仿宋_GB2312"/>
          <w:sz w:val="32"/>
          <w:szCs w:val="32"/>
        </w:rPr>
        <w:t>若被检产品明示的质量要求缺少本细则中检验项目依据的推荐性标准要求时，该项目不参与判定。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MzAyZjI4OTE1YzNlYjFhMTExYjg1NjRlN2ViOWUifQ=="/>
  </w:docVars>
  <w:rsids>
    <w:rsidRoot w:val="00000000"/>
    <w:rsid w:val="25A31285"/>
    <w:rsid w:val="296F2AB6"/>
    <w:rsid w:val="2D264F68"/>
    <w:rsid w:val="3A4A5930"/>
    <w:rsid w:val="696B162F"/>
    <w:rsid w:val="FCFAE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customStyle="1" w:styleId="5">
    <w:name w:val="样式1 标题（方正小标宋简体）"/>
    <w:basedOn w:val="1"/>
    <w:qFormat/>
    <w:uiPriority w:val="0"/>
    <w:pPr>
      <w:spacing w:line="560" w:lineRule="exact"/>
      <w:jc w:val="center"/>
    </w:pPr>
    <w:rPr>
      <w:rFonts w:ascii="Times New Roman" w:hAnsi="Times New Roman" w:eastAsia="方正小标宋简体"/>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2024-04-18T09:48:00Z</dcterms:created>
  <dc:creator>Administrator</dc:creator>
  <cp:lastModifiedBy>user</cp:lastModifiedBy>
  <dcterms:modified xsi:type="dcterms:W3CDTF">2024-04-22T16:52:07Z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DF1B25285696435BA041737F2A85D7E4_13</vt:lpwstr>
  </property>
</Properties>
</file>