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right"/>
        <w:rPr>
          <w:rFonts w:hint="eastAsia" w:ascii="Times New Roman" w:hAnsi="方正小标宋简体" w:eastAsia="方正小标宋简体" w:cs="方正小标宋简体"/>
          <w:spacing w:val="-1"/>
          <w:position w:val="1"/>
          <w:sz w:val="24"/>
          <w:lang w:bidi="ar"/>
        </w:rPr>
      </w:pPr>
      <w:r>
        <w:rPr>
          <w:rFonts w:hint="eastAsia" w:ascii="Times New Roman" w:hAnsi="方正小标宋简体" w:eastAsia="方正小标宋简体" w:cs="方正小标宋简体"/>
          <w:spacing w:val="-1"/>
          <w:position w:val="1"/>
          <w:sz w:val="24"/>
          <w:lang w:bidi="ar"/>
        </w:rPr>
        <w:t>DG-GZ-00</w:t>
      </w:r>
      <w:r>
        <w:rPr>
          <w:rFonts w:hint="eastAsia" w:ascii="Times New Roman" w:hAnsi="方正小标宋简体" w:eastAsia="方正小标宋简体" w:cs="方正小标宋简体"/>
          <w:spacing w:val="-1"/>
          <w:position w:val="1"/>
          <w:sz w:val="24"/>
          <w:lang w:val="en-US" w:eastAsia="zh-CN" w:bidi="ar"/>
        </w:rPr>
        <w:t>01</w:t>
      </w:r>
      <w:bookmarkStart w:id="0" w:name="_GoBack"/>
      <w:bookmarkEnd w:id="0"/>
      <w:r>
        <w:rPr>
          <w:rFonts w:hint="eastAsia" w:ascii="Times New Roman" w:hAnsi="方正小标宋简体" w:eastAsia="方正小标宋简体" w:cs="方正小标宋简体"/>
          <w:spacing w:val="-1"/>
          <w:position w:val="1"/>
          <w:sz w:val="24"/>
          <w:lang w:bidi="ar"/>
        </w:rPr>
        <w:t>-4-2024</w:t>
      </w:r>
    </w:p>
    <w:p>
      <w:pPr>
        <w:spacing w:line="600" w:lineRule="exact"/>
        <w:jc w:val="right"/>
        <w:rPr>
          <w:rFonts w:hint="eastAsia" w:ascii="Times New Roman" w:hAnsi="方正小标宋简体" w:eastAsia="方正小标宋简体" w:cs="方正小标宋简体"/>
          <w:spacing w:val="-1"/>
          <w:position w:val="1"/>
          <w:sz w:val="24"/>
          <w:lang w:bidi="ar"/>
        </w:rPr>
      </w:pPr>
    </w:p>
    <w:p>
      <w:pPr>
        <w:spacing w:line="600" w:lineRule="exact"/>
        <w:jc w:val="center"/>
        <w:rPr>
          <w:rFonts w:eastAsia="方正小标宋简体" w:cs="方正小标宋简体"/>
          <w:bCs/>
          <w:sz w:val="44"/>
          <w:szCs w:val="44"/>
        </w:rPr>
      </w:pPr>
      <w:r>
        <w:rPr>
          <w:rFonts w:hint="eastAsia" w:ascii="Times New Roman" w:hAnsi="方正小标宋简体" w:eastAsia="方正小标宋简体" w:cs="方正小标宋简体"/>
          <w:spacing w:val="-1"/>
          <w:position w:val="1"/>
          <w:sz w:val="44"/>
          <w:szCs w:val="44"/>
          <w:lang w:bidi="ar"/>
        </w:rPr>
        <w:t>东莞市淋浴房</w:t>
      </w:r>
      <w:r>
        <w:rPr>
          <w:rFonts w:hint="eastAsia" w:ascii="Times New Roman" w:hAnsi="方正小标宋简体" w:eastAsia="方正小标宋简体" w:cs="方正小标宋简体"/>
          <w:w w:val="99"/>
          <w:position w:val="1"/>
          <w:sz w:val="44"/>
          <w:szCs w:val="44"/>
          <w:lang w:bidi="ar"/>
        </w:rPr>
        <w:t>产品质量监督</w:t>
      </w:r>
      <w:r>
        <w:rPr>
          <w:rFonts w:hint="eastAsia" w:ascii="Times New Roman" w:hAnsi="方正小标宋简体" w:eastAsia="方正小标宋简体" w:cs="方正小标宋简体"/>
          <w:bCs/>
          <w:sz w:val="44"/>
          <w:szCs w:val="44"/>
          <w:lang w:bidi="ar"/>
        </w:rPr>
        <w:t>抽查实施细则</w:t>
      </w:r>
    </w:p>
    <w:p>
      <w:pPr>
        <w:spacing w:line="440" w:lineRule="exact"/>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（2024年版）</w:t>
      </w:r>
    </w:p>
    <w:p>
      <w:pPr>
        <w:snapToGrid w:val="0"/>
        <w:spacing w:line="440" w:lineRule="exact"/>
        <w:rPr>
          <w:rFonts w:ascii="Times New Roman" w:hAnsi="Times New Roman" w:eastAsia="黑体" w:cs="Times New Roman"/>
          <w:sz w:val="21"/>
          <w:szCs w:val="21"/>
        </w:rPr>
      </w:pPr>
    </w:p>
    <w:p>
      <w:pPr>
        <w:spacing w:line="560" w:lineRule="exact"/>
        <w:ind w:firstLine="640" w:firstLineChars="200"/>
        <w:rPr>
          <w:rFonts w:eastAsia="黑体"/>
          <w:szCs w:val="32"/>
        </w:rPr>
      </w:pPr>
      <w:r>
        <w:rPr>
          <w:rFonts w:hint="eastAsia" w:ascii="Times New Roman" w:hAnsi="Times New Roman" w:eastAsia="黑体" w:cs="黑体"/>
          <w:sz w:val="32"/>
          <w:szCs w:val="32"/>
          <w:lang w:bidi="ar"/>
        </w:rPr>
        <w:t>1 抽样方法</w:t>
      </w:r>
    </w:p>
    <w:p>
      <w:pPr>
        <w:adjustRightInd w:val="0"/>
        <w:snapToGrid w:val="0"/>
        <w:spacing w:line="560" w:lineRule="exact"/>
        <w:ind w:firstLine="640"/>
        <w:rPr>
          <w:kern w:val="0"/>
          <w:szCs w:val="32"/>
        </w:rPr>
      </w:pPr>
      <w:r>
        <w:rPr>
          <w:rFonts w:hint="eastAsia" w:ascii="Times New Roman" w:hAnsi="Times New Roman" w:eastAsia="仿宋_GB2312" w:cs="仿宋_GB2312"/>
          <w:kern w:val="0"/>
          <w:sz w:val="32"/>
          <w:szCs w:val="32"/>
          <w:lang w:bidi="ar"/>
        </w:rPr>
        <w:t>以随机抽样的方式在被抽样生产者成品仓库或生产线末端抽取。</w:t>
      </w:r>
    </w:p>
    <w:p>
      <w:pPr>
        <w:adjustRightInd w:val="0"/>
        <w:snapToGrid w:val="0"/>
        <w:spacing w:line="560" w:lineRule="exact"/>
        <w:ind w:firstLine="640"/>
        <w:rPr>
          <w:kern w:val="0"/>
          <w:szCs w:val="32"/>
        </w:rPr>
      </w:pPr>
      <w:r>
        <w:rPr>
          <w:rFonts w:hint="eastAsia" w:ascii="Times New Roman" w:hAnsi="Times New Roman" w:eastAsia="仿宋_GB2312" w:cs="仿宋_GB2312"/>
          <w:kern w:val="0"/>
          <w:sz w:val="32"/>
          <w:szCs w:val="32"/>
          <w:lang w:bidi="ar"/>
        </w:rPr>
        <w:t>随机数一般可使用随机数表等方法产生。</w:t>
      </w:r>
    </w:p>
    <w:p>
      <w:pPr>
        <w:adjustRightInd w:val="0"/>
        <w:snapToGrid w:val="0"/>
        <w:spacing w:line="560" w:lineRule="exact"/>
        <w:ind w:firstLine="640"/>
        <w:rPr>
          <w:szCs w:val="32"/>
        </w:rPr>
      </w:pPr>
      <w:r>
        <w:rPr>
          <w:rFonts w:hint="eastAsia" w:ascii="Times New Roman" w:hAnsi="Times New Roman" w:eastAsia="仿宋_GB2312" w:cs="仿宋_GB2312"/>
          <w:kern w:val="0"/>
          <w:sz w:val="32"/>
          <w:szCs w:val="32"/>
          <w:lang w:bidi="ar"/>
        </w:rPr>
        <w:t>每批次产品抽取同一款式、同一规格的样品</w:t>
      </w:r>
      <w:r>
        <w:rPr>
          <w:rFonts w:ascii="Times New Roman" w:hAnsi="Times New Roman" w:eastAsia="仿宋_GB2312" w:cs="Times New Roman"/>
          <w:kern w:val="0"/>
          <w:sz w:val="32"/>
          <w:szCs w:val="32"/>
          <w:lang w:bidi="ar"/>
        </w:rPr>
        <w:t>2</w:t>
      </w:r>
      <w:r>
        <w:rPr>
          <w:rFonts w:hint="eastAsia" w:ascii="Times New Roman" w:hAnsi="Times New Roman" w:eastAsia="仿宋_GB2312" w:cs="仿宋_GB2312"/>
          <w:kern w:val="0"/>
          <w:sz w:val="32"/>
          <w:szCs w:val="32"/>
          <w:lang w:bidi="ar"/>
        </w:rPr>
        <w:t>套，其中</w:t>
      </w:r>
      <w:r>
        <w:rPr>
          <w:rFonts w:ascii="Times New Roman" w:hAnsi="Times New Roman" w:eastAsia="仿宋_GB2312" w:cs="Times New Roman"/>
          <w:kern w:val="0"/>
          <w:sz w:val="32"/>
          <w:szCs w:val="32"/>
          <w:lang w:bidi="ar"/>
        </w:rPr>
        <w:t>1</w:t>
      </w:r>
      <w:r>
        <w:rPr>
          <w:rFonts w:hint="eastAsia" w:ascii="Times New Roman" w:hAnsi="Times New Roman" w:eastAsia="仿宋_GB2312" w:cs="仿宋_GB2312"/>
          <w:kern w:val="0"/>
          <w:sz w:val="32"/>
          <w:szCs w:val="32"/>
          <w:lang w:bidi="ar"/>
        </w:rPr>
        <w:t>套作为检验样品、</w:t>
      </w:r>
      <w:r>
        <w:rPr>
          <w:rFonts w:ascii="Times New Roman" w:hAnsi="Times New Roman" w:eastAsia="仿宋_GB2312" w:cs="Times New Roman"/>
          <w:kern w:val="0"/>
          <w:sz w:val="32"/>
          <w:szCs w:val="32"/>
          <w:lang w:bidi="ar"/>
        </w:rPr>
        <w:t>1</w:t>
      </w:r>
      <w:r>
        <w:rPr>
          <w:rFonts w:hint="eastAsia" w:ascii="Times New Roman" w:hAnsi="Times New Roman" w:eastAsia="仿宋_GB2312" w:cs="仿宋_GB2312"/>
          <w:kern w:val="0"/>
          <w:sz w:val="32"/>
          <w:szCs w:val="32"/>
          <w:lang w:bidi="ar"/>
        </w:rPr>
        <w:t>套作为备用样品</w:t>
      </w:r>
      <w:r>
        <w:rPr>
          <w:rFonts w:hint="eastAsia" w:ascii="Times New Roman" w:hAnsi="Times New Roman" w:eastAsia="仿宋_GB2312" w:cs="仿宋_GB2312"/>
          <w:sz w:val="32"/>
          <w:szCs w:val="32"/>
          <w:lang w:bidi="ar"/>
        </w:rPr>
        <w:t>。</w:t>
      </w:r>
    </w:p>
    <w:p>
      <w:pPr>
        <w:adjustRightInd w:val="0"/>
        <w:snapToGrid w:val="0"/>
        <w:spacing w:line="560" w:lineRule="exact"/>
        <w:ind w:firstLine="640"/>
        <w:rPr>
          <w:rFonts w:eastAsia="黑体"/>
          <w:color w:val="000000"/>
          <w:szCs w:val="32"/>
        </w:rPr>
      </w:pPr>
      <w:r>
        <w:rPr>
          <w:rFonts w:hint="eastAsia" w:ascii="Times New Roman" w:hAnsi="Times New Roman" w:eastAsia="黑体" w:cs="黑体"/>
          <w:color w:val="000000"/>
          <w:sz w:val="32"/>
          <w:szCs w:val="32"/>
          <w:lang w:bidi="ar"/>
        </w:rPr>
        <w:t>2 检验依据</w:t>
      </w:r>
    </w:p>
    <w:tbl>
      <w:tblPr>
        <w:tblStyle w:val="6"/>
        <w:tblW w:w="88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59"/>
        <w:gridCol w:w="4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81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360" w:lineRule="exact"/>
              <w:jc w:val="center"/>
              <w:rPr>
                <w:rFonts w:ascii="宋体" w:hAnsi="宋体" w:eastAsia="宋体" w:cs="黑体"/>
                <w:szCs w:val="21"/>
              </w:rPr>
            </w:pPr>
            <w:r>
              <w:rPr>
                <w:rFonts w:hint="eastAsia" w:ascii="宋体" w:hAnsi="宋体" w:eastAsia="宋体" w:cs="黑体"/>
                <w:szCs w:val="21"/>
                <w:lang w:bidi="ar"/>
              </w:rPr>
              <w:t>序号</w:t>
            </w:r>
          </w:p>
        </w:tc>
        <w:tc>
          <w:tcPr>
            <w:tcW w:w="3259"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360" w:lineRule="exact"/>
              <w:jc w:val="center"/>
              <w:rPr>
                <w:rFonts w:ascii="宋体" w:hAnsi="宋体" w:eastAsia="宋体" w:cs="黑体"/>
                <w:szCs w:val="21"/>
              </w:rPr>
            </w:pPr>
            <w:r>
              <w:rPr>
                <w:rFonts w:hint="eastAsia" w:ascii="宋体" w:hAnsi="宋体" w:eastAsia="宋体" w:cs="黑体"/>
                <w:szCs w:val="21"/>
                <w:lang w:bidi="ar"/>
              </w:rPr>
              <w:t>检验项目</w:t>
            </w:r>
          </w:p>
        </w:tc>
        <w:tc>
          <w:tcPr>
            <w:tcW w:w="4780"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360" w:lineRule="exact"/>
              <w:jc w:val="center"/>
              <w:rPr>
                <w:rFonts w:ascii="宋体" w:hAnsi="宋体" w:eastAsia="宋体" w:cs="黑体"/>
                <w:szCs w:val="21"/>
              </w:rPr>
            </w:pPr>
            <w:r>
              <w:rPr>
                <w:rFonts w:hint="eastAsia" w:ascii="宋体" w:hAnsi="宋体" w:eastAsia="宋体" w:cs="黑体"/>
                <w:szCs w:val="21"/>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1</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hint="eastAsia" w:eastAsia="宋体"/>
                <w:szCs w:val="21"/>
              </w:rPr>
              <w:t>外观</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2</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hint="eastAsia" w:eastAsia="宋体"/>
                <w:szCs w:val="21"/>
              </w:rPr>
              <w:t>加工与装配</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3</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hint="eastAsia" w:asciiTheme="minorEastAsia" w:hAnsiTheme="minorEastAsia" w:cstheme="minorEastAsia"/>
                <w:szCs w:val="21"/>
              </w:rPr>
              <w:t>涂、镀层附着强度</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23、QB/T 5419-2019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4</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hint="eastAsia" w:asciiTheme="minorEastAsia" w:hAnsiTheme="minorEastAsia" w:cstheme="minorEastAsia"/>
                <w:szCs w:val="21"/>
              </w:rPr>
              <w:t>表面耐腐蚀</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5</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hint="eastAsia" w:asciiTheme="minorEastAsia" w:hAnsiTheme="minorEastAsia" w:cstheme="minorEastAsia"/>
                <w:szCs w:val="21"/>
              </w:rPr>
              <w:t>操作性能</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6</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jc w:val="center"/>
              <w:rPr>
                <w:rFonts w:asciiTheme="minorEastAsia" w:hAnsiTheme="minorEastAsia" w:cstheme="minorEastAsia"/>
                <w:szCs w:val="21"/>
              </w:rPr>
            </w:pPr>
            <w:r>
              <w:rPr>
                <w:rFonts w:hint="eastAsia" w:asciiTheme="minorEastAsia" w:hAnsiTheme="minorEastAsia" w:cstheme="minorEastAsia"/>
                <w:szCs w:val="21"/>
              </w:rPr>
              <w:t>密封性能</w:t>
            </w:r>
          </w:p>
          <w:p>
            <w:pPr>
              <w:adjustRightInd w:val="0"/>
              <w:snapToGrid w:val="0"/>
              <w:spacing w:line="360" w:lineRule="exact"/>
              <w:jc w:val="center"/>
              <w:rPr>
                <w:rFonts w:eastAsia="宋体"/>
                <w:szCs w:val="21"/>
              </w:rPr>
            </w:pPr>
            <w:r>
              <w:rPr>
                <w:rFonts w:hint="eastAsia" w:asciiTheme="minorEastAsia" w:hAnsiTheme="minorEastAsia" w:cstheme="minorEastAsia"/>
                <w:szCs w:val="21"/>
              </w:rPr>
              <w:t>（喷淋试验）</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ascii="Times New Roman" w:hAnsi="Times New Roman" w:eastAsia="宋体" w:cs="Times New Roman"/>
                <w:szCs w:val="21"/>
                <w:lang w:bidi="ar"/>
              </w:rPr>
              <w:t>7</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eastAsia="宋体"/>
                <w:szCs w:val="21"/>
              </w:rPr>
            </w:pPr>
            <w:r>
              <w:rPr>
                <w:rFonts w:hint="eastAsia"/>
              </w:rPr>
              <w:t>密封胶条耐老化</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23、GB/T 16422.3-2022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hint="eastAsia" w:ascii="Times New Roman" w:hAnsi="Times New Roman" w:eastAsia="宋体" w:cs="Times New Roman"/>
                <w:szCs w:val="21"/>
                <w:lang w:bidi="ar"/>
              </w:rPr>
              <w:t>8</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pPr>
            <w:r>
              <w:rPr>
                <w:rFonts w:hint="eastAsia"/>
              </w:rPr>
              <w:t>玻璃安全</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23、GB 15763.2-2005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hint="eastAsia" w:ascii="Times New Roman" w:hAnsi="Times New Roman" w:eastAsia="宋体" w:cs="Times New Roman"/>
                <w:szCs w:val="21"/>
                <w:lang w:bidi="ar"/>
              </w:rPr>
              <w:t>9</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jc w:val="center"/>
            </w:pPr>
            <w:r>
              <w:rPr>
                <w:rFonts w:hint="eastAsia"/>
              </w:rPr>
              <w:t>结构安全</w:t>
            </w:r>
          </w:p>
          <w:p>
            <w:pPr>
              <w:adjustRightInd w:val="0"/>
              <w:snapToGrid w:val="0"/>
              <w:spacing w:line="360" w:lineRule="exact"/>
              <w:jc w:val="center"/>
            </w:pPr>
            <w:r>
              <w:rPr>
                <w:rFonts w:hint="eastAsia"/>
              </w:rPr>
              <w:t>（房体抗冲击）</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hint="eastAsia" w:ascii="Times New Roman" w:hAnsi="Times New Roman" w:eastAsia="宋体" w:cs="Times New Roman"/>
                <w:szCs w:val="21"/>
                <w:lang w:bidi="ar"/>
              </w:rPr>
              <w:t>10</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pPr>
            <w:r>
              <w:rPr>
                <w:rFonts w:hint="eastAsia"/>
              </w:rPr>
              <w:t>结构安全</w:t>
            </w:r>
          </w:p>
          <w:p>
            <w:pPr>
              <w:adjustRightInd w:val="0"/>
              <w:snapToGrid w:val="0"/>
              <w:spacing w:line="360" w:lineRule="exact"/>
              <w:jc w:val="center"/>
            </w:pPr>
            <w:r>
              <w:rPr>
                <w:rFonts w:hint="eastAsia"/>
              </w:rPr>
              <w:t>（房体抗载荷）</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hint="eastAsia" w:ascii="Times New Roman" w:hAnsi="Times New Roman" w:eastAsia="宋体" w:cs="Times New Roman"/>
                <w:szCs w:val="21"/>
                <w:lang w:bidi="ar"/>
              </w:rPr>
              <w:t>11</w:t>
            </w:r>
          </w:p>
        </w:tc>
        <w:tc>
          <w:tcPr>
            <w:tcW w:w="325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pPr>
            <w:r>
              <w:rPr>
                <w:rFonts w:hint="eastAsia" w:ascii="宋体" w:hAnsi="宋体"/>
                <w:szCs w:val="21"/>
              </w:rPr>
              <w:t>安全警示</w:t>
            </w:r>
          </w:p>
        </w:tc>
        <w:tc>
          <w:tcPr>
            <w:tcW w:w="478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eastAsia="宋体" w:cs="Times New Roman"/>
                <w:szCs w:val="21"/>
                <w:lang w:bidi="ar"/>
              </w:rPr>
            </w:pPr>
            <w:r>
              <w:rPr>
                <w:rFonts w:ascii="Times New Roman" w:hAnsi="Times New Roman" w:eastAsia="宋体" w:cs="Times New Roman"/>
                <w:szCs w:val="21"/>
                <w:lang w:bidi="ar"/>
              </w:rPr>
              <w:t>QB/T 2584-20</w:t>
            </w:r>
            <w:r>
              <w:rPr>
                <w:rFonts w:hint="eastAsia" w:ascii="Times New Roman" w:hAnsi="Times New Roman" w:eastAsia="宋体" w:cs="Times New Roman"/>
                <w:szCs w:val="21"/>
                <w:lang w:bidi="ar"/>
              </w:rPr>
              <w:t>23</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adjustRightInd w:val="0"/>
        <w:snapToGrid w:val="0"/>
        <w:spacing w:line="580" w:lineRule="exact"/>
        <w:ind w:firstLine="640" w:firstLineChars="200"/>
        <w:rPr>
          <w:rFonts w:eastAsia="黑体"/>
          <w:color w:val="000000"/>
          <w:szCs w:val="32"/>
        </w:rPr>
      </w:pPr>
      <w:r>
        <w:rPr>
          <w:rFonts w:hint="eastAsia" w:ascii="Times New Roman" w:hAnsi="Times New Roman" w:eastAsia="黑体" w:cs="黑体"/>
          <w:color w:val="000000"/>
          <w:sz w:val="32"/>
          <w:szCs w:val="32"/>
          <w:lang w:bidi="ar"/>
        </w:rPr>
        <w:t>3 判定规则</w:t>
      </w:r>
    </w:p>
    <w:p>
      <w:pPr>
        <w:adjustRightInd w:val="0"/>
        <w:snapToGrid w:val="0"/>
        <w:spacing w:line="580" w:lineRule="exact"/>
        <w:ind w:firstLine="640" w:firstLineChars="200"/>
        <w:rPr>
          <w:rFonts w:eastAsia="楷体_GB2312"/>
          <w:color w:val="000000"/>
          <w:szCs w:val="32"/>
        </w:rPr>
      </w:pPr>
      <w:r>
        <w:rPr>
          <w:rFonts w:hint="eastAsia" w:ascii="Times New Roman" w:hAnsi="Times New Roman" w:eastAsia="楷体_GB2312" w:cs="楷体_GB2312"/>
          <w:color w:val="000000"/>
          <w:sz w:val="32"/>
          <w:szCs w:val="32"/>
          <w:lang w:bidi="ar"/>
        </w:rPr>
        <w:t>3.1 依据标准</w:t>
      </w:r>
    </w:p>
    <w:p>
      <w:pPr>
        <w:spacing w:line="580" w:lineRule="exact"/>
        <w:ind w:firstLine="640" w:firstLineChars="200"/>
        <w:rPr>
          <w:color w:val="000000"/>
          <w:szCs w:val="32"/>
        </w:rPr>
      </w:pPr>
      <w:r>
        <w:rPr>
          <w:rFonts w:ascii="Times New Roman" w:hAnsi="Times New Roman" w:eastAsia="仿宋_GB2312" w:cs="Times New Roman"/>
          <w:color w:val="000000"/>
          <w:sz w:val="32"/>
          <w:szCs w:val="32"/>
          <w:lang w:bidi="ar"/>
        </w:rPr>
        <w:t>QB/T 2584-20</w:t>
      </w:r>
      <w:r>
        <w:rPr>
          <w:rFonts w:hint="eastAsia" w:ascii="Times New Roman" w:hAnsi="Times New Roman" w:eastAsia="仿宋_GB2312" w:cs="Times New Roman"/>
          <w:color w:val="000000"/>
          <w:sz w:val="32"/>
          <w:szCs w:val="32"/>
          <w:lang w:bidi="ar"/>
        </w:rPr>
        <w:t>23</w:t>
      </w:r>
      <w:r>
        <w:rPr>
          <w:rFonts w:hint="eastAsia" w:ascii="Times New Roman" w:hAnsi="Times New Roman" w:eastAsia="仿宋_GB2312" w:cs="仿宋_GB2312"/>
          <w:color w:val="000000"/>
          <w:sz w:val="32"/>
          <w:szCs w:val="32"/>
          <w:lang w:bidi="ar"/>
        </w:rPr>
        <w:t xml:space="preserve"> 淋浴房</w:t>
      </w:r>
    </w:p>
    <w:p>
      <w:pPr>
        <w:spacing w:line="580" w:lineRule="exact"/>
        <w:ind w:firstLine="640" w:firstLineChars="200"/>
        <w:rPr>
          <w:kern w:val="44"/>
          <w:szCs w:val="32"/>
        </w:rPr>
      </w:pPr>
      <w:r>
        <w:rPr>
          <w:rFonts w:hint="eastAsia" w:ascii="Times New Roman" w:hAnsi="Times New Roman" w:eastAsia="仿宋_GB2312" w:cs="仿宋_GB2312"/>
          <w:kern w:val="44"/>
          <w:sz w:val="32"/>
          <w:szCs w:val="32"/>
          <w:lang w:bidi="ar"/>
        </w:rPr>
        <w:t>现行有效的企业标准、团体标准、地方标准及产品明示质量要求。</w:t>
      </w:r>
    </w:p>
    <w:p>
      <w:pPr>
        <w:adjustRightInd w:val="0"/>
        <w:snapToGrid w:val="0"/>
        <w:spacing w:line="580" w:lineRule="exact"/>
        <w:ind w:firstLine="640" w:firstLineChars="200"/>
        <w:rPr>
          <w:rFonts w:ascii="Times New Roman" w:hAnsi="Times New Roman" w:eastAsia="楷体_GB2312" w:cs="Times New Roman"/>
          <w:color w:val="000000"/>
          <w:szCs w:val="32"/>
        </w:rPr>
      </w:pPr>
      <w:r>
        <w:rPr>
          <w:rFonts w:ascii="Times New Roman" w:hAnsi="Times New Roman" w:eastAsia="楷体_GB2312" w:cs="Times New Roman"/>
          <w:color w:val="000000"/>
          <w:sz w:val="32"/>
          <w:szCs w:val="32"/>
          <w:lang w:bidi="ar"/>
        </w:rPr>
        <w:t>3.2 判定原则</w:t>
      </w:r>
    </w:p>
    <w:p>
      <w:pPr>
        <w:spacing w:line="580" w:lineRule="exact"/>
        <w:ind w:firstLine="640" w:firstLineChars="200"/>
        <w:rPr>
          <w:rFonts w:hint="eastAsia"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经检验，检验项目全部合格，判定为被抽查产品所检项目未发现不合格；检验项目中任一项或一项以上不合格，判定为被抽查产品不合格。</w:t>
      </w:r>
    </w:p>
    <w:p>
      <w:pPr>
        <w:spacing w:line="580" w:lineRule="exact"/>
        <w:ind w:firstLine="640" w:firstLineChars="200"/>
        <w:rPr>
          <w:rFonts w:hint="eastAsia"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若被检产品明示的质量要求高于本细则中检验项目依据的标准要求时，应按被检产品明示的质量要求判定。</w:t>
      </w:r>
    </w:p>
    <w:p>
      <w:pPr>
        <w:spacing w:line="580" w:lineRule="exact"/>
        <w:ind w:firstLine="640" w:firstLineChars="200"/>
        <w:rPr>
          <w:rFonts w:hint="eastAsia"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若被检产品明示的质量要求低于本细则中检验项目依据的强制性标准要求时，应按照强制性标准要求判定。</w:t>
      </w:r>
    </w:p>
    <w:p>
      <w:pPr>
        <w:spacing w:line="580" w:lineRule="exact"/>
        <w:ind w:firstLine="640" w:firstLineChars="200"/>
        <w:rPr>
          <w:rFonts w:hint="eastAsia"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若被检产品明示的质量要求低于或包含本细则中检验项目依据的推荐性标准要求时，应以被检产品明示的质量要求判定。</w:t>
      </w:r>
    </w:p>
    <w:p>
      <w:pPr>
        <w:spacing w:line="580" w:lineRule="exact"/>
        <w:ind w:firstLine="640" w:firstLineChars="200"/>
        <w:rPr>
          <w:rFonts w:hint="eastAsia"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若被检产品明示的质量要求缺少本细则中检验项目依据的强制性标准要求时，应按照强制性标准要求判定。</w:t>
      </w:r>
    </w:p>
    <w:p>
      <w:pPr>
        <w:spacing w:line="580" w:lineRule="exact"/>
        <w:ind w:firstLine="640" w:firstLineChars="200"/>
        <w:rPr>
          <w:rFonts w:ascii="仿宋_GB2312" w:hAnsi="仿宋_GB2312" w:eastAsia="仿宋_GB2312" w:cs="仿宋_GB2312"/>
          <w:szCs w:val="32"/>
        </w:rPr>
      </w:pPr>
      <w:r>
        <w:rPr>
          <w:rFonts w:hint="eastAsia" w:ascii="Times New Roman" w:hAnsi="Times New Roman" w:eastAsia="仿宋_GB2312" w:cs="仿宋_GB2312"/>
          <w:sz w:val="32"/>
          <w:szCs w:val="32"/>
          <w:lang w:bidi="ar"/>
        </w:rPr>
        <w:t>若被检产品明示的质量要求缺少本细则中检验项目依据的推荐性标准要求时，该项目不参与判定。</w:t>
      </w: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4YzNjNWY3OWUxNTJiNDQ0OTQyODY4ZmIzN2NjMTYifQ=="/>
  </w:docVars>
  <w:rsids>
    <w:rsidRoot w:val="47357A1D"/>
    <w:rsid w:val="002B6D67"/>
    <w:rsid w:val="00D51190"/>
    <w:rsid w:val="00DB049C"/>
    <w:rsid w:val="00EC7343"/>
    <w:rsid w:val="05B56C48"/>
    <w:rsid w:val="47357A1D"/>
    <w:rsid w:val="483710F4"/>
    <w:rsid w:val="4D046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before="340" w:after="330"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Plain Text"/>
    <w:basedOn w:val="1"/>
    <w:link w:val="9"/>
    <w:qFormat/>
    <w:uiPriority w:val="0"/>
    <w:rPr>
      <w:rFonts w:hint="eastAsia" w:ascii="宋体" w:hAnsi="Courier New" w:eastAsia="宋体" w:cs="Times New Roman"/>
      <w:sz w:val="30"/>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qFormat/>
    <w:uiPriority w:val="0"/>
    <w:rPr>
      <w:rFonts w:hint="eastAsia" w:ascii="仿宋_GB2312" w:eastAsia="仿宋_GB2312" w:cs="仿宋_GB2312"/>
      <w:b/>
      <w:kern w:val="44"/>
      <w:sz w:val="44"/>
      <w:szCs w:val="44"/>
    </w:rPr>
  </w:style>
  <w:style w:type="character" w:customStyle="1" w:styleId="9">
    <w:name w:val="纯文本 Char"/>
    <w:basedOn w:val="7"/>
    <w:link w:val="3"/>
    <w:qFormat/>
    <w:uiPriority w:val="0"/>
    <w:rPr>
      <w:rFonts w:hint="eastAsia" w:ascii="宋体" w:hAnsi="Courier New" w:eastAsia="宋体" w:cs="Courier New"/>
      <w:kern w:val="2"/>
      <w:sz w:val="30"/>
      <w:szCs w:val="24"/>
    </w:rPr>
  </w:style>
  <w:style w:type="character" w:customStyle="1" w:styleId="10">
    <w:name w:val="页眉 Char"/>
    <w:basedOn w:val="7"/>
    <w:link w:val="5"/>
    <w:uiPriority w:val="0"/>
    <w:rPr>
      <w:rFonts w:asciiTheme="minorHAnsi" w:hAnsiTheme="minorHAnsi" w:eastAsiaTheme="minorEastAsia" w:cstheme="minorBidi"/>
      <w:kern w:val="2"/>
      <w:sz w:val="18"/>
      <w:szCs w:val="18"/>
    </w:rPr>
  </w:style>
  <w:style w:type="character" w:customStyle="1" w:styleId="11">
    <w:name w:val="页脚 Char"/>
    <w:basedOn w:val="7"/>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Pages>
  <Words>146</Words>
  <Characters>837</Characters>
  <Lines>6</Lines>
  <Paragraphs>1</Paragraphs>
  <TotalTime>1</TotalTime>
  <ScaleCrop>false</ScaleCrop>
  <LinksUpToDate>false</LinksUpToDate>
  <CharactersWithSpaces>982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2023-05-11T03:29:00Z</dcterms:created>
  <dc:creator>yws1</dc:creator>
  <cp:lastModifiedBy>YWB</cp:lastModifiedBy>
  <dcterms:modified xsi:type="dcterms:W3CDTF">2024-04-29T01:41:22Z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5376DC8E42A1417699AA11D0851A6C6D_12</vt:lpwstr>
  </property>
</Properties>
</file>