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right"/>
        <w:rPr>
          <w:rFonts w:hint="eastAsia" w:eastAsia="宋体"/>
          <w:sz w:val="24"/>
        </w:rPr>
      </w:pPr>
      <w:r>
        <w:rPr>
          <w:rFonts w:hint="eastAsia" w:eastAsia="宋体"/>
          <w:sz w:val="24"/>
        </w:rPr>
        <w:t>DG-GZ-00</w:t>
      </w:r>
      <w:r>
        <w:rPr>
          <w:rFonts w:hint="eastAsia" w:eastAsia="宋体"/>
          <w:sz w:val="24"/>
          <w:lang w:val="en-US" w:eastAsia="zh-CN"/>
        </w:rPr>
        <w:t>03</w:t>
      </w:r>
      <w:r>
        <w:rPr>
          <w:rFonts w:hint="eastAsia" w:eastAsia="宋体"/>
          <w:sz w:val="24"/>
        </w:rPr>
        <w:t>-4-2024</w:t>
      </w:r>
    </w:p>
    <w:p>
      <w:pPr>
        <w:snapToGrid w:val="0"/>
        <w:spacing w:line="440" w:lineRule="exact"/>
        <w:jc w:val="right"/>
        <w:rPr>
          <w:rFonts w:eastAsia="宋体"/>
          <w:sz w:val="24"/>
        </w:rPr>
      </w:pPr>
    </w:p>
    <w:p>
      <w:pPr>
        <w:snapToGrid w:val="0"/>
        <w:spacing w:line="594" w:lineRule="exact"/>
        <w:jc w:val="center"/>
        <w:rPr>
          <w:rFonts w:eastAsia="方正小标宋简体"/>
          <w:sz w:val="44"/>
          <w:szCs w:val="44"/>
        </w:rPr>
      </w:pPr>
      <w:r>
        <w:rPr>
          <w:rFonts w:hint="eastAsia" w:eastAsia="方正小标宋简体"/>
          <w:sz w:val="44"/>
          <w:szCs w:val="44"/>
        </w:rPr>
        <w:t>东莞市蒸压加气混凝土砌块产品质量监督抽查实施细则</w:t>
      </w:r>
    </w:p>
    <w:p>
      <w:pPr>
        <w:spacing w:line="440" w:lineRule="exact"/>
        <w:jc w:val="center"/>
        <w:rPr>
          <w:rFonts w:eastAsia="楷体_GB2312"/>
          <w:szCs w:val="32"/>
        </w:rPr>
      </w:pPr>
      <w:r>
        <w:rPr>
          <w:rFonts w:eastAsia="楷体_GB2312"/>
          <w:szCs w:val="32"/>
        </w:rPr>
        <w:t>（2024年版）</w:t>
      </w:r>
    </w:p>
    <w:p>
      <w:pPr>
        <w:snapToGrid w:val="0"/>
        <w:spacing w:line="440" w:lineRule="exact"/>
        <w:rPr>
          <w:rFonts w:eastAsia="黑体"/>
          <w:sz w:val="21"/>
          <w:szCs w:val="21"/>
        </w:rPr>
      </w:pPr>
    </w:p>
    <w:p>
      <w:pPr>
        <w:snapToGrid w:val="0"/>
        <w:spacing w:line="560" w:lineRule="exact"/>
        <w:ind w:firstLine="640" w:firstLineChars="200"/>
        <w:rPr>
          <w:rFonts w:eastAsia="黑体"/>
          <w:szCs w:val="32"/>
        </w:rPr>
      </w:pPr>
      <w:r>
        <w:rPr>
          <w:rFonts w:eastAsia="黑体"/>
          <w:szCs w:val="32"/>
        </w:rPr>
        <w:t>1 抽样方法</w:t>
      </w:r>
    </w:p>
    <w:p>
      <w:pPr>
        <w:snapToGrid w:val="0"/>
        <w:spacing w:line="560" w:lineRule="exact"/>
        <w:ind w:firstLine="640" w:firstLineChars="200"/>
        <w:rPr>
          <w:szCs w:val="32"/>
        </w:rPr>
      </w:pPr>
      <w:r>
        <w:rPr>
          <w:rFonts w:hint="eastAsia"/>
          <w:szCs w:val="32"/>
        </w:rPr>
        <w:t>以随机抽样的方式在被抽查市场主体的待销产品中抽取。</w:t>
      </w:r>
    </w:p>
    <w:p>
      <w:pPr>
        <w:snapToGrid w:val="0"/>
        <w:spacing w:line="560" w:lineRule="exact"/>
        <w:ind w:firstLine="640" w:firstLineChars="200"/>
        <w:rPr>
          <w:szCs w:val="32"/>
        </w:rPr>
      </w:pPr>
      <w:r>
        <w:rPr>
          <w:rFonts w:hint="eastAsia"/>
          <w:szCs w:val="32"/>
        </w:rPr>
        <w:t>随机数一般可使用随机数表等方法产生。</w:t>
      </w:r>
    </w:p>
    <w:p>
      <w:pPr>
        <w:snapToGrid w:val="0"/>
        <w:spacing w:line="560" w:lineRule="exact"/>
        <w:ind w:firstLine="640" w:firstLineChars="200"/>
        <w:rPr>
          <w:szCs w:val="32"/>
        </w:rPr>
      </w:pPr>
      <w:r>
        <w:rPr>
          <w:rFonts w:hint="eastAsia"/>
          <w:szCs w:val="32"/>
        </w:rPr>
        <w:t>每批次产品抽取2组样本，第1组用于检验，第2组用于备样。</w:t>
      </w:r>
    </w:p>
    <w:p>
      <w:pPr>
        <w:snapToGrid w:val="0"/>
        <w:spacing w:line="560" w:lineRule="exact"/>
        <w:ind w:firstLine="640" w:firstLineChars="200"/>
        <w:rPr>
          <w:szCs w:val="32"/>
        </w:rPr>
      </w:pPr>
      <w:r>
        <w:rPr>
          <w:rFonts w:hint="eastAsia"/>
          <w:szCs w:val="32"/>
        </w:rPr>
        <w:t>具体抽样数量和方法如下：</w:t>
      </w:r>
    </w:p>
    <w:tbl>
      <w:tblPr>
        <w:tblStyle w:val="4"/>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504"/>
        <w:gridCol w:w="1315"/>
        <w:gridCol w:w="2814"/>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730" w:type="dxa"/>
            <w:vAlign w:val="center"/>
          </w:tcPr>
          <w:p>
            <w:pPr>
              <w:snapToGrid w:val="0"/>
              <w:spacing w:line="440" w:lineRule="exact"/>
              <w:jc w:val="center"/>
              <w:rPr>
                <w:rFonts w:eastAsia="宋体"/>
                <w:sz w:val="21"/>
                <w:szCs w:val="21"/>
              </w:rPr>
            </w:pPr>
            <w:r>
              <w:rPr>
                <w:rFonts w:hint="eastAsia" w:eastAsia="宋体"/>
                <w:sz w:val="21"/>
                <w:szCs w:val="21"/>
              </w:rPr>
              <w:t>序号</w:t>
            </w:r>
          </w:p>
        </w:tc>
        <w:tc>
          <w:tcPr>
            <w:tcW w:w="2819" w:type="dxa"/>
            <w:gridSpan w:val="2"/>
            <w:vAlign w:val="center"/>
          </w:tcPr>
          <w:p>
            <w:pPr>
              <w:snapToGrid w:val="0"/>
              <w:spacing w:line="440" w:lineRule="exact"/>
              <w:jc w:val="center"/>
              <w:rPr>
                <w:rFonts w:eastAsia="宋体"/>
                <w:sz w:val="21"/>
                <w:szCs w:val="21"/>
              </w:rPr>
            </w:pPr>
            <w:r>
              <w:rPr>
                <w:rFonts w:hint="eastAsia" w:eastAsia="宋体"/>
                <w:sz w:val="21"/>
                <w:szCs w:val="21"/>
              </w:rPr>
              <w:t>产品名称</w:t>
            </w:r>
          </w:p>
        </w:tc>
        <w:tc>
          <w:tcPr>
            <w:tcW w:w="2814" w:type="dxa"/>
            <w:vAlign w:val="center"/>
          </w:tcPr>
          <w:p>
            <w:pPr>
              <w:snapToGrid w:val="0"/>
              <w:spacing w:line="440" w:lineRule="exact"/>
              <w:jc w:val="center"/>
              <w:rPr>
                <w:rFonts w:eastAsia="宋体"/>
                <w:sz w:val="21"/>
                <w:szCs w:val="21"/>
              </w:rPr>
            </w:pPr>
            <w:r>
              <w:rPr>
                <w:rFonts w:eastAsia="宋体"/>
                <w:sz w:val="21"/>
                <w:szCs w:val="21"/>
              </w:rPr>
              <w:t>第1组数量（款）</w:t>
            </w:r>
          </w:p>
        </w:tc>
        <w:tc>
          <w:tcPr>
            <w:tcW w:w="2804" w:type="dxa"/>
            <w:vAlign w:val="center"/>
          </w:tcPr>
          <w:p>
            <w:pPr>
              <w:snapToGrid w:val="0"/>
              <w:spacing w:line="440" w:lineRule="exact"/>
              <w:jc w:val="center"/>
              <w:rPr>
                <w:rFonts w:eastAsia="宋体"/>
                <w:sz w:val="21"/>
                <w:szCs w:val="21"/>
              </w:rPr>
            </w:pPr>
            <w:r>
              <w:rPr>
                <w:rFonts w:eastAsia="宋体"/>
                <w:sz w:val="21"/>
                <w:szCs w:val="21"/>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730" w:type="dxa"/>
            <w:vAlign w:val="center"/>
          </w:tcPr>
          <w:p>
            <w:pPr>
              <w:snapToGrid w:val="0"/>
              <w:spacing w:line="440" w:lineRule="exact"/>
              <w:jc w:val="center"/>
              <w:rPr>
                <w:rFonts w:eastAsia="宋体"/>
                <w:sz w:val="21"/>
                <w:szCs w:val="21"/>
              </w:rPr>
            </w:pPr>
            <w:r>
              <w:rPr>
                <w:rFonts w:hint="eastAsia" w:eastAsia="宋体"/>
                <w:sz w:val="21"/>
                <w:szCs w:val="21"/>
              </w:rPr>
              <w:t>1</w:t>
            </w:r>
          </w:p>
        </w:tc>
        <w:tc>
          <w:tcPr>
            <w:tcW w:w="1504" w:type="dxa"/>
            <w:vAlign w:val="center"/>
          </w:tcPr>
          <w:p>
            <w:pPr>
              <w:snapToGrid w:val="0"/>
              <w:spacing w:line="440" w:lineRule="exact"/>
              <w:jc w:val="center"/>
              <w:rPr>
                <w:rFonts w:eastAsia="宋体"/>
                <w:sz w:val="21"/>
                <w:szCs w:val="21"/>
              </w:rPr>
            </w:pPr>
            <w:r>
              <w:rPr>
                <w:rFonts w:hint="eastAsia" w:eastAsia="宋体"/>
                <w:sz w:val="21"/>
                <w:szCs w:val="21"/>
              </w:rPr>
              <w:t>新型节能环保墙体材料</w:t>
            </w:r>
          </w:p>
        </w:tc>
        <w:tc>
          <w:tcPr>
            <w:tcW w:w="1315" w:type="dxa"/>
            <w:vAlign w:val="center"/>
          </w:tcPr>
          <w:p>
            <w:pPr>
              <w:snapToGrid w:val="0"/>
              <w:spacing w:line="440" w:lineRule="exact"/>
              <w:jc w:val="center"/>
              <w:rPr>
                <w:rFonts w:eastAsia="宋体"/>
                <w:sz w:val="21"/>
                <w:szCs w:val="21"/>
              </w:rPr>
            </w:pPr>
            <w:r>
              <w:rPr>
                <w:rFonts w:hint="eastAsia" w:eastAsia="宋体"/>
                <w:sz w:val="21"/>
                <w:szCs w:val="21"/>
              </w:rPr>
              <w:t>蒸压加气混凝土砌块</w:t>
            </w:r>
          </w:p>
        </w:tc>
        <w:tc>
          <w:tcPr>
            <w:tcW w:w="2814" w:type="dxa"/>
            <w:vAlign w:val="center"/>
          </w:tcPr>
          <w:p>
            <w:pPr>
              <w:snapToGrid w:val="0"/>
              <w:spacing w:line="440" w:lineRule="exact"/>
              <w:jc w:val="center"/>
              <w:rPr>
                <w:rFonts w:eastAsia="宋体"/>
                <w:sz w:val="21"/>
                <w:szCs w:val="21"/>
              </w:rPr>
            </w:pPr>
            <w:r>
              <w:rPr>
                <w:rFonts w:hint="eastAsia" w:eastAsia="宋体"/>
                <w:sz w:val="21"/>
                <w:szCs w:val="21"/>
              </w:rPr>
              <w:t>抽样时以同厂家（或同品牌）、同一品种、规格和等级同一批次产品作为一个样本总体。随机抽取样品15块</w:t>
            </w:r>
          </w:p>
        </w:tc>
        <w:tc>
          <w:tcPr>
            <w:tcW w:w="2804" w:type="dxa"/>
            <w:vAlign w:val="center"/>
          </w:tcPr>
          <w:p>
            <w:pPr>
              <w:snapToGrid w:val="0"/>
              <w:spacing w:line="440" w:lineRule="exact"/>
              <w:jc w:val="center"/>
              <w:rPr>
                <w:rFonts w:eastAsia="宋体"/>
                <w:sz w:val="21"/>
                <w:szCs w:val="21"/>
              </w:rPr>
            </w:pPr>
            <w:r>
              <w:rPr>
                <w:rFonts w:hint="eastAsia" w:eastAsia="宋体"/>
                <w:sz w:val="21"/>
                <w:szCs w:val="21"/>
              </w:rPr>
              <w:t>抽样时以同厂家（或同品牌）、同一品种、规格和等级同一批次产品作为一个样本总体。随机抽取样品5块</w:t>
            </w:r>
          </w:p>
        </w:tc>
      </w:tr>
    </w:tbl>
    <w:p>
      <w:pPr>
        <w:snapToGrid w:val="0"/>
        <w:spacing w:line="560" w:lineRule="exact"/>
        <w:ind w:firstLine="640" w:firstLineChars="200"/>
        <w:rPr>
          <w:szCs w:val="32"/>
        </w:rPr>
      </w:pPr>
      <w:r>
        <w:rPr>
          <w:rFonts w:hint="eastAsia"/>
          <w:szCs w:val="32"/>
        </w:rPr>
        <w:t>抽样时需确认砌块的规格、强度等级和密度等级信息。</w:t>
      </w:r>
    </w:p>
    <w:p>
      <w:pPr>
        <w:snapToGrid w:val="0"/>
        <w:spacing w:line="560" w:lineRule="exact"/>
        <w:ind w:firstLine="640" w:firstLineChars="200"/>
        <w:rPr>
          <w:rFonts w:eastAsia="黑体"/>
          <w:szCs w:val="32"/>
        </w:rPr>
      </w:pPr>
      <w:r>
        <w:rPr>
          <w:rFonts w:eastAsia="黑体"/>
          <w:szCs w:val="32"/>
        </w:rPr>
        <w:t>2 检验依据</w:t>
      </w:r>
    </w:p>
    <w:p>
      <w:pPr>
        <w:snapToGrid w:val="0"/>
        <w:spacing w:line="560" w:lineRule="exact"/>
        <w:ind w:firstLine="640" w:firstLineChars="200"/>
        <w:rPr>
          <w:szCs w:val="32"/>
        </w:rPr>
      </w:pPr>
      <w:r>
        <w:rPr>
          <w:rFonts w:hint="eastAsia"/>
          <w:szCs w:val="32"/>
        </w:rPr>
        <w:t>新型节能环保墙体材料（蒸压加气混凝土砌块）</w:t>
      </w:r>
    </w:p>
    <w:tbl>
      <w:tblPr>
        <w:tblStyle w:val="4"/>
        <w:tblW w:w="91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3"/>
        <w:gridCol w:w="3508"/>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tblHeader/>
          <w:jc w:val="center"/>
        </w:trPr>
        <w:tc>
          <w:tcPr>
            <w:tcW w:w="134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eastAsia="宋体"/>
                <w:sz w:val="21"/>
                <w:szCs w:val="21"/>
              </w:rPr>
            </w:pPr>
            <w:r>
              <w:rPr>
                <w:rFonts w:hint="eastAsia" w:eastAsia="宋体"/>
                <w:sz w:val="21"/>
                <w:szCs w:val="21"/>
              </w:rPr>
              <w:t>序号</w:t>
            </w:r>
          </w:p>
        </w:tc>
        <w:tc>
          <w:tcPr>
            <w:tcW w:w="350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eastAsia="宋体"/>
                <w:sz w:val="21"/>
                <w:szCs w:val="21"/>
              </w:rPr>
            </w:pPr>
            <w:r>
              <w:rPr>
                <w:rFonts w:hint="eastAsia" w:eastAsia="宋体"/>
                <w:sz w:val="21"/>
                <w:szCs w:val="21"/>
              </w:rPr>
              <w:t>检验项目</w:t>
            </w:r>
          </w:p>
        </w:tc>
        <w:tc>
          <w:tcPr>
            <w:tcW w:w="431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eastAsia="宋体"/>
                <w:sz w:val="21"/>
                <w:szCs w:val="21"/>
              </w:rPr>
            </w:pPr>
            <w:r>
              <w:rPr>
                <w:rFonts w:hint="eastAsia"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snapToGrid w:val="0"/>
              <w:spacing w:line="440" w:lineRule="exact"/>
              <w:jc w:val="center"/>
              <w:rPr>
                <w:rFonts w:eastAsia="宋体"/>
                <w:sz w:val="21"/>
                <w:szCs w:val="21"/>
              </w:rPr>
            </w:pPr>
            <w:r>
              <w:rPr>
                <w:rFonts w:eastAsia="宋体"/>
                <w:sz w:val="21"/>
                <w:szCs w:val="21"/>
              </w:rPr>
              <w:t>1</w:t>
            </w:r>
          </w:p>
        </w:tc>
        <w:tc>
          <w:tcPr>
            <w:tcW w:w="3508" w:type="dxa"/>
            <w:vAlign w:val="center"/>
          </w:tcPr>
          <w:p>
            <w:pPr>
              <w:snapToGrid w:val="0"/>
              <w:spacing w:line="440" w:lineRule="exact"/>
              <w:jc w:val="center"/>
              <w:rPr>
                <w:rFonts w:eastAsia="宋体"/>
                <w:sz w:val="21"/>
                <w:szCs w:val="21"/>
              </w:rPr>
            </w:pPr>
            <w:r>
              <w:rPr>
                <w:rFonts w:eastAsia="宋体"/>
                <w:sz w:val="21"/>
                <w:szCs w:val="21"/>
              </w:rPr>
              <w:t>抗压强度</w:t>
            </w:r>
          </w:p>
        </w:tc>
        <w:tc>
          <w:tcPr>
            <w:tcW w:w="4319" w:type="dxa"/>
            <w:vAlign w:val="center"/>
          </w:tcPr>
          <w:p>
            <w:pPr>
              <w:snapToGrid w:val="0"/>
              <w:spacing w:line="440" w:lineRule="exact"/>
              <w:jc w:val="center"/>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snapToGrid w:val="0"/>
              <w:spacing w:line="440" w:lineRule="exact"/>
              <w:jc w:val="center"/>
              <w:rPr>
                <w:rFonts w:eastAsia="宋体"/>
                <w:sz w:val="21"/>
                <w:szCs w:val="21"/>
              </w:rPr>
            </w:pPr>
            <w:r>
              <w:rPr>
                <w:rFonts w:eastAsia="宋体"/>
                <w:sz w:val="21"/>
                <w:szCs w:val="21"/>
              </w:rPr>
              <w:t>2</w:t>
            </w:r>
          </w:p>
        </w:tc>
        <w:tc>
          <w:tcPr>
            <w:tcW w:w="3508" w:type="dxa"/>
            <w:vAlign w:val="center"/>
          </w:tcPr>
          <w:p>
            <w:pPr>
              <w:snapToGrid w:val="0"/>
              <w:spacing w:line="440" w:lineRule="exact"/>
              <w:jc w:val="center"/>
              <w:rPr>
                <w:rFonts w:eastAsia="宋体"/>
                <w:sz w:val="21"/>
                <w:szCs w:val="21"/>
              </w:rPr>
            </w:pPr>
            <w:r>
              <w:rPr>
                <w:rFonts w:eastAsia="宋体"/>
                <w:sz w:val="21"/>
                <w:szCs w:val="21"/>
              </w:rPr>
              <w:t>干密度</w:t>
            </w:r>
          </w:p>
        </w:tc>
        <w:tc>
          <w:tcPr>
            <w:tcW w:w="4319" w:type="dxa"/>
            <w:vAlign w:val="center"/>
          </w:tcPr>
          <w:p>
            <w:pPr>
              <w:snapToGrid w:val="0"/>
              <w:spacing w:line="440" w:lineRule="exact"/>
              <w:jc w:val="center"/>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snapToGrid w:val="0"/>
              <w:spacing w:line="440" w:lineRule="exact"/>
              <w:jc w:val="center"/>
              <w:rPr>
                <w:rFonts w:eastAsia="宋体"/>
                <w:sz w:val="21"/>
                <w:szCs w:val="21"/>
              </w:rPr>
            </w:pPr>
            <w:r>
              <w:rPr>
                <w:rFonts w:hint="eastAsia" w:eastAsia="宋体"/>
                <w:sz w:val="21"/>
                <w:szCs w:val="21"/>
              </w:rPr>
              <w:t>3</w:t>
            </w:r>
          </w:p>
        </w:tc>
        <w:tc>
          <w:tcPr>
            <w:tcW w:w="3508" w:type="dxa"/>
            <w:vAlign w:val="center"/>
          </w:tcPr>
          <w:p>
            <w:pPr>
              <w:snapToGrid w:val="0"/>
              <w:spacing w:line="440" w:lineRule="exact"/>
              <w:jc w:val="center"/>
              <w:rPr>
                <w:rFonts w:eastAsia="宋体"/>
                <w:sz w:val="21"/>
                <w:szCs w:val="21"/>
              </w:rPr>
            </w:pPr>
            <w:r>
              <w:rPr>
                <w:rFonts w:hint="eastAsia" w:eastAsia="宋体"/>
                <w:sz w:val="21"/>
                <w:szCs w:val="21"/>
              </w:rPr>
              <w:t>干燥收缩</w:t>
            </w:r>
          </w:p>
        </w:tc>
        <w:tc>
          <w:tcPr>
            <w:tcW w:w="4319" w:type="dxa"/>
          </w:tcPr>
          <w:p>
            <w:pPr>
              <w:snapToGrid w:val="0"/>
              <w:spacing w:line="440" w:lineRule="exact"/>
              <w:jc w:val="center"/>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snapToGrid w:val="0"/>
              <w:spacing w:line="440" w:lineRule="exact"/>
              <w:jc w:val="center"/>
              <w:rPr>
                <w:rFonts w:eastAsia="宋体"/>
                <w:sz w:val="21"/>
                <w:szCs w:val="21"/>
              </w:rPr>
            </w:pPr>
            <w:r>
              <w:rPr>
                <w:rFonts w:hint="eastAsia" w:eastAsia="宋体"/>
                <w:sz w:val="21"/>
                <w:szCs w:val="21"/>
              </w:rPr>
              <w:t>4</w:t>
            </w:r>
          </w:p>
        </w:tc>
        <w:tc>
          <w:tcPr>
            <w:tcW w:w="3508" w:type="dxa"/>
            <w:vAlign w:val="center"/>
          </w:tcPr>
          <w:p>
            <w:pPr>
              <w:snapToGrid w:val="0"/>
              <w:spacing w:line="440" w:lineRule="exact"/>
              <w:jc w:val="center"/>
              <w:rPr>
                <w:rFonts w:eastAsia="宋体"/>
                <w:sz w:val="21"/>
                <w:szCs w:val="21"/>
              </w:rPr>
            </w:pPr>
            <w:r>
              <w:rPr>
                <w:rFonts w:hint="eastAsia" w:eastAsia="宋体"/>
                <w:sz w:val="21"/>
                <w:szCs w:val="21"/>
              </w:rPr>
              <w:t>抗冻性</w:t>
            </w:r>
          </w:p>
        </w:tc>
        <w:tc>
          <w:tcPr>
            <w:tcW w:w="4319" w:type="dxa"/>
          </w:tcPr>
          <w:p>
            <w:pPr>
              <w:snapToGrid w:val="0"/>
              <w:spacing w:line="440" w:lineRule="exact"/>
              <w:jc w:val="center"/>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snapToGrid w:val="0"/>
              <w:spacing w:line="440" w:lineRule="exact"/>
              <w:jc w:val="center"/>
              <w:rPr>
                <w:rFonts w:eastAsia="宋体"/>
                <w:sz w:val="21"/>
                <w:szCs w:val="21"/>
              </w:rPr>
            </w:pPr>
            <w:r>
              <w:rPr>
                <w:rFonts w:hint="eastAsia" w:eastAsia="宋体"/>
                <w:sz w:val="21"/>
                <w:szCs w:val="21"/>
              </w:rPr>
              <w:t>5</w:t>
            </w:r>
          </w:p>
        </w:tc>
        <w:tc>
          <w:tcPr>
            <w:tcW w:w="3508" w:type="dxa"/>
            <w:vAlign w:val="center"/>
          </w:tcPr>
          <w:p>
            <w:pPr>
              <w:snapToGrid w:val="0"/>
              <w:spacing w:line="440" w:lineRule="exact"/>
              <w:jc w:val="center"/>
              <w:rPr>
                <w:rFonts w:eastAsia="宋体"/>
                <w:sz w:val="21"/>
                <w:szCs w:val="21"/>
              </w:rPr>
            </w:pPr>
            <w:r>
              <w:rPr>
                <w:rFonts w:hint="eastAsia" w:eastAsia="宋体"/>
                <w:sz w:val="21"/>
                <w:szCs w:val="21"/>
              </w:rPr>
              <w:t>导热系数</w:t>
            </w:r>
          </w:p>
        </w:tc>
        <w:tc>
          <w:tcPr>
            <w:tcW w:w="4319" w:type="dxa"/>
            <w:vAlign w:val="center"/>
          </w:tcPr>
          <w:p>
            <w:pPr>
              <w:snapToGrid w:val="0"/>
              <w:spacing w:line="440" w:lineRule="exact"/>
              <w:jc w:val="center"/>
              <w:rPr>
                <w:rFonts w:eastAsia="宋体"/>
                <w:sz w:val="21"/>
                <w:szCs w:val="21"/>
              </w:rPr>
            </w:pPr>
            <w:r>
              <w:rPr>
                <w:rFonts w:eastAsia="宋体"/>
                <w:sz w:val="21"/>
                <w:szCs w:val="21"/>
              </w:rPr>
              <w:t>GB/T 10294</w:t>
            </w:r>
            <w:r>
              <w:rPr>
                <w:rFonts w:hint="eastAsia" w:eastAsia="宋体"/>
                <w:sz w:val="21"/>
                <w:szCs w:val="21"/>
              </w:rPr>
              <w:t>—</w:t>
            </w:r>
            <w:r>
              <w:rPr>
                <w:rFonts w:eastAsia="宋体"/>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snapToGrid w:val="0"/>
              <w:spacing w:line="440" w:lineRule="exact"/>
              <w:jc w:val="center"/>
              <w:rPr>
                <w:rFonts w:eastAsia="宋体"/>
                <w:sz w:val="21"/>
                <w:szCs w:val="21"/>
              </w:rPr>
            </w:pPr>
            <w:r>
              <w:rPr>
                <w:rFonts w:hint="eastAsia" w:eastAsia="宋体"/>
                <w:sz w:val="21"/>
                <w:szCs w:val="21"/>
              </w:rPr>
              <w:t>6</w:t>
            </w:r>
          </w:p>
        </w:tc>
        <w:tc>
          <w:tcPr>
            <w:tcW w:w="3508" w:type="dxa"/>
            <w:vAlign w:val="center"/>
          </w:tcPr>
          <w:p>
            <w:pPr>
              <w:snapToGrid w:val="0"/>
              <w:spacing w:line="440" w:lineRule="exact"/>
              <w:jc w:val="center"/>
              <w:rPr>
                <w:rFonts w:eastAsia="宋体"/>
                <w:sz w:val="21"/>
                <w:szCs w:val="21"/>
              </w:rPr>
            </w:pPr>
            <w:r>
              <w:rPr>
                <w:rFonts w:eastAsia="宋体"/>
                <w:sz w:val="21"/>
                <w:szCs w:val="21"/>
              </w:rPr>
              <w:t>放射性</w:t>
            </w:r>
          </w:p>
        </w:tc>
        <w:tc>
          <w:tcPr>
            <w:tcW w:w="4319" w:type="dxa"/>
            <w:vAlign w:val="center"/>
          </w:tcPr>
          <w:p>
            <w:pPr>
              <w:snapToGrid w:val="0"/>
              <w:spacing w:line="440" w:lineRule="exact"/>
              <w:jc w:val="center"/>
              <w:rPr>
                <w:rFonts w:eastAsia="宋体"/>
                <w:sz w:val="21"/>
                <w:szCs w:val="21"/>
              </w:rPr>
            </w:pPr>
            <w:r>
              <w:rPr>
                <w:rFonts w:eastAsia="宋体"/>
                <w:sz w:val="21"/>
                <w:szCs w:val="21"/>
              </w:rPr>
              <w:t>GB 6566</w:t>
            </w:r>
            <w:r>
              <w:rPr>
                <w:rFonts w:hint="eastAsia" w:eastAsia="宋体"/>
                <w:sz w:val="21"/>
                <w:szCs w:val="21"/>
              </w:rPr>
              <w:t>-</w:t>
            </w:r>
            <w:r>
              <w:rPr>
                <w:rFonts w:eastAsia="宋体"/>
                <w:sz w:val="21"/>
                <w:szCs w:val="21"/>
              </w:rPr>
              <w:t>2010</w:t>
            </w:r>
          </w:p>
        </w:tc>
      </w:tr>
    </w:tbl>
    <w:p>
      <w:pPr>
        <w:snapToGrid w:val="0"/>
        <w:spacing w:line="560" w:lineRule="exact"/>
        <w:ind w:firstLine="640" w:firstLineChars="200"/>
        <w:rPr>
          <w:szCs w:val="32"/>
        </w:rPr>
      </w:pPr>
      <w:r>
        <w:rPr>
          <w:rFonts w:hint="eastAsia"/>
          <w:szCs w:val="32"/>
        </w:rPr>
        <w:t>执行企业标准、团体标准、地方标准的产品，检验项目参照上述内容执行。</w:t>
      </w:r>
    </w:p>
    <w:p>
      <w:pPr>
        <w:snapToGrid w:val="0"/>
        <w:spacing w:line="560" w:lineRule="exact"/>
        <w:ind w:firstLine="640"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40" w:firstLineChars="200"/>
        <w:rPr>
          <w:rFonts w:eastAsia="黑体"/>
          <w:szCs w:val="32"/>
        </w:rPr>
      </w:pPr>
      <w:r>
        <w:rPr>
          <w:rFonts w:eastAsia="黑体"/>
          <w:szCs w:val="32"/>
        </w:rPr>
        <w:t>3 判定规则</w:t>
      </w:r>
    </w:p>
    <w:p>
      <w:pPr>
        <w:snapToGrid w:val="0"/>
        <w:spacing w:line="560" w:lineRule="exact"/>
        <w:ind w:firstLine="640" w:firstLineChars="200"/>
        <w:rPr>
          <w:szCs w:val="32"/>
        </w:rPr>
      </w:pPr>
      <w:r>
        <w:rPr>
          <w:szCs w:val="32"/>
        </w:rPr>
        <w:t>3.1依据标准</w:t>
      </w:r>
    </w:p>
    <w:p>
      <w:pPr>
        <w:snapToGrid w:val="0"/>
        <w:spacing w:line="560" w:lineRule="exact"/>
        <w:ind w:firstLine="640" w:firstLineChars="200"/>
        <w:rPr>
          <w:szCs w:val="32"/>
        </w:rPr>
      </w:pPr>
      <w:r>
        <w:rPr>
          <w:rFonts w:hint="eastAsia"/>
          <w:szCs w:val="32"/>
        </w:rPr>
        <w:t>GB/T 11968—2020 蒸压加气混凝土砌块</w:t>
      </w:r>
    </w:p>
    <w:p>
      <w:pPr>
        <w:snapToGrid w:val="0"/>
        <w:spacing w:line="560" w:lineRule="exact"/>
        <w:ind w:firstLine="640" w:firstLineChars="200"/>
        <w:rPr>
          <w:szCs w:val="32"/>
        </w:rPr>
      </w:pPr>
      <w:r>
        <w:rPr>
          <w:rFonts w:hint="eastAsia"/>
          <w:szCs w:val="32"/>
        </w:rPr>
        <w:t>GB/T 11969—2020 蒸压加气混凝土性能试验方法</w:t>
      </w:r>
    </w:p>
    <w:p>
      <w:pPr>
        <w:snapToGrid w:val="0"/>
        <w:spacing w:line="560" w:lineRule="exact"/>
        <w:ind w:firstLine="640" w:firstLineChars="200"/>
        <w:rPr>
          <w:szCs w:val="32"/>
        </w:rPr>
      </w:pPr>
      <w:r>
        <w:rPr>
          <w:rFonts w:hint="eastAsia"/>
          <w:szCs w:val="32"/>
        </w:rPr>
        <w:t>GB/T 10294—2008 绝热材料稳态热阻及有关特性的测定 防护热板办法</w:t>
      </w:r>
    </w:p>
    <w:p>
      <w:pPr>
        <w:snapToGrid w:val="0"/>
        <w:spacing w:line="560" w:lineRule="exact"/>
        <w:ind w:firstLine="640" w:firstLineChars="200"/>
        <w:rPr>
          <w:szCs w:val="32"/>
        </w:rPr>
      </w:pPr>
      <w:r>
        <w:rPr>
          <w:rFonts w:hint="eastAsia"/>
          <w:szCs w:val="32"/>
        </w:rPr>
        <w:t>GB 6566—2010 建筑材料放射性核素限量</w:t>
      </w:r>
    </w:p>
    <w:p>
      <w:pPr>
        <w:snapToGrid w:val="0"/>
        <w:spacing w:line="560" w:lineRule="exact"/>
        <w:ind w:firstLine="640" w:firstLineChars="200"/>
        <w:rPr>
          <w:szCs w:val="32"/>
        </w:rPr>
      </w:pPr>
      <w:r>
        <w:rPr>
          <w:szCs w:val="32"/>
        </w:rPr>
        <w:t>现行有效的企业标准、团体标准、地方标准及产品明示质量要求</w:t>
      </w:r>
    </w:p>
    <w:p>
      <w:pPr>
        <w:snapToGrid w:val="0"/>
        <w:spacing w:line="560" w:lineRule="exact"/>
        <w:ind w:firstLine="640" w:firstLineChars="200"/>
        <w:rPr>
          <w:szCs w:val="32"/>
        </w:rPr>
      </w:pPr>
      <w:r>
        <w:rPr>
          <w:szCs w:val="32"/>
        </w:rPr>
        <w:t>3.2判定原则</w:t>
      </w:r>
    </w:p>
    <w:p>
      <w:pPr>
        <w:snapToGrid w:val="0"/>
        <w:spacing w:line="560" w:lineRule="exact"/>
        <w:ind w:firstLine="640"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40"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40"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40" w:firstLineChars="200"/>
        <w:rPr>
          <w:szCs w:val="32"/>
        </w:rPr>
      </w:pPr>
      <w:r>
        <w:rPr>
          <w:szCs w:val="32"/>
        </w:rPr>
        <w:t>若被检产品明示的质量要求低于或包含本细则中检验项目依据的推荐性标准要求时，应以被检产</w:t>
      </w:r>
      <w:bookmarkStart w:id="0" w:name="_GoBack"/>
      <w:bookmarkEnd w:id="0"/>
      <w:r>
        <w:rPr>
          <w:szCs w:val="32"/>
        </w:rPr>
        <w:t>品明示的质量要求判定。</w:t>
      </w:r>
    </w:p>
    <w:p>
      <w:pPr>
        <w:snapToGrid w:val="0"/>
        <w:spacing w:line="560" w:lineRule="exact"/>
        <w:ind w:firstLine="640"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40" w:firstLineChars="200"/>
        <w:rPr>
          <w:szCs w:val="32"/>
        </w:rPr>
      </w:pPr>
      <w:r>
        <w:rPr>
          <w:szCs w:val="32"/>
        </w:rPr>
        <w:t>若被检产品明示的质量要求缺少本细则中检验项目依据的推荐性标准要求时，该项目不参与判定。</w:t>
      </w:r>
    </w:p>
    <w:p>
      <w:pPr>
        <w:snapToGrid w:val="0"/>
        <w:spacing w:line="560" w:lineRule="exact"/>
        <w:ind w:firstLine="640" w:firstLineChars="200"/>
        <w:rPr>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12E84"/>
    <w:rsid w:val="00A83E4E"/>
    <w:rsid w:val="00BE150D"/>
    <w:rsid w:val="00C87333"/>
    <w:rsid w:val="42412E84"/>
    <w:rsid w:val="48677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eastAsia="仿宋_GB2312"/>
      <w:kern w:val="2"/>
      <w:sz w:val="18"/>
      <w:szCs w:val="18"/>
    </w:rPr>
  </w:style>
  <w:style w:type="character" w:customStyle="1" w:styleId="7">
    <w:name w:val="页脚 Char"/>
    <w:basedOn w:val="5"/>
    <w:link w:val="2"/>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160</Words>
  <Characters>917</Characters>
  <Lines>7</Lines>
  <Paragraphs>2</Paragraphs>
  <TotalTime>1</TotalTime>
  <ScaleCrop>false</ScaleCrop>
  <LinksUpToDate>false</LinksUpToDate>
  <CharactersWithSpaces>1075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2024-04-28T10:29:00Z</dcterms:created>
  <dc:creator>JYJC</dc:creator>
  <cp:lastModifiedBy>YWB</cp:lastModifiedBy>
  <dcterms:modified xsi:type="dcterms:W3CDTF">2024-04-29T01:43:11Z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