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right"/>
        <w:rPr>
          <w:rFonts w:eastAsia="宋体"/>
          <w:sz w:val="24"/>
        </w:rPr>
      </w:pPr>
      <w:r>
        <w:rPr>
          <w:rFonts w:hint="eastAsia" w:eastAsia="宋体"/>
          <w:sz w:val="24"/>
        </w:rPr>
        <w:t>DG-GZ-00</w:t>
      </w:r>
      <w:r>
        <w:rPr>
          <w:rFonts w:hint="eastAsia" w:eastAsia="宋体"/>
          <w:sz w:val="24"/>
          <w:lang w:val="en-US" w:eastAsia="zh-CN"/>
        </w:rPr>
        <w:t>04</w:t>
      </w:r>
      <w:bookmarkStart w:id="0" w:name="_GoBack"/>
      <w:bookmarkEnd w:id="0"/>
      <w:r>
        <w:rPr>
          <w:rFonts w:hint="eastAsia" w:eastAsia="宋体"/>
          <w:sz w:val="24"/>
        </w:rPr>
        <w:t>-4-2024</w:t>
      </w:r>
    </w:p>
    <w:p>
      <w:pPr>
        <w:snapToGrid w:val="0"/>
        <w:spacing w:line="440" w:lineRule="exact"/>
        <w:jc w:val="right"/>
        <w:rPr>
          <w:rFonts w:ascii="方正小标宋简体" w:hAnsi="方正小标宋简体" w:eastAsia="方正小标宋简体" w:cs="方正小标宋简体"/>
          <w:spacing w:val="-6"/>
          <w:position w:val="1"/>
          <w:sz w:val="44"/>
          <w:szCs w:val="44"/>
        </w:rPr>
      </w:pPr>
    </w:p>
    <w:p>
      <w:pPr>
        <w:snapToGrid w:val="0"/>
        <w:spacing w:line="594" w:lineRule="exact"/>
        <w:jc w:val="center"/>
        <w:rPr>
          <w:rFonts w:eastAsia="方正小标宋简体"/>
          <w:sz w:val="44"/>
          <w:szCs w:val="44"/>
        </w:rPr>
      </w:pPr>
      <w:r>
        <w:rPr>
          <w:rFonts w:hint="eastAsia" w:eastAsia="方正小标宋简体"/>
          <w:sz w:val="44"/>
          <w:szCs w:val="44"/>
        </w:rPr>
        <w:t>东莞市装饰用焊接不锈钢管产品质量监督抽查实施细则</w:t>
      </w:r>
    </w:p>
    <w:p>
      <w:pPr>
        <w:spacing w:line="440" w:lineRule="exact"/>
        <w:jc w:val="center"/>
        <w:rPr>
          <w:rFonts w:eastAsia="楷体_GB2312"/>
          <w:szCs w:val="32"/>
        </w:rPr>
      </w:pPr>
      <w:r>
        <w:rPr>
          <w:rFonts w:eastAsia="楷体_GB2312"/>
          <w:szCs w:val="32"/>
        </w:rPr>
        <w:t>（2024年版）</w:t>
      </w:r>
    </w:p>
    <w:p>
      <w:pPr>
        <w:snapToGrid w:val="0"/>
        <w:spacing w:line="440" w:lineRule="exact"/>
        <w:rPr>
          <w:rFonts w:eastAsia="黑体"/>
          <w:sz w:val="21"/>
          <w:szCs w:val="21"/>
        </w:rPr>
      </w:pPr>
    </w:p>
    <w:p>
      <w:pPr>
        <w:snapToGrid w:val="0"/>
        <w:spacing w:line="560" w:lineRule="exact"/>
        <w:ind w:firstLine="640" w:firstLineChars="200"/>
        <w:rPr>
          <w:rFonts w:eastAsia="黑体"/>
          <w:szCs w:val="32"/>
        </w:rPr>
      </w:pPr>
      <w:r>
        <w:rPr>
          <w:rFonts w:eastAsia="黑体"/>
          <w:szCs w:val="32"/>
        </w:rPr>
        <w:t>1 抽样方法</w:t>
      </w:r>
    </w:p>
    <w:p>
      <w:pPr>
        <w:snapToGrid w:val="0"/>
        <w:spacing w:line="560" w:lineRule="exact"/>
        <w:ind w:firstLine="640" w:firstLineChars="200"/>
        <w:rPr>
          <w:szCs w:val="32"/>
        </w:rPr>
      </w:pPr>
      <w:r>
        <w:rPr>
          <w:rFonts w:hint="eastAsia"/>
          <w:szCs w:val="32"/>
        </w:rPr>
        <w:t>以随机抽样的方式在被抽查市场主体的待销产品中抽取。</w:t>
      </w:r>
    </w:p>
    <w:p>
      <w:pPr>
        <w:snapToGrid w:val="0"/>
        <w:spacing w:line="560" w:lineRule="exact"/>
        <w:ind w:firstLine="640" w:firstLineChars="200"/>
        <w:rPr>
          <w:szCs w:val="32"/>
        </w:rPr>
      </w:pPr>
      <w:r>
        <w:rPr>
          <w:rFonts w:hint="eastAsia"/>
          <w:szCs w:val="32"/>
        </w:rPr>
        <w:t>随机数一般可使用随机数表等方法产生。</w:t>
      </w:r>
    </w:p>
    <w:p>
      <w:pPr>
        <w:snapToGrid w:val="0"/>
        <w:spacing w:line="560" w:lineRule="exact"/>
        <w:ind w:firstLine="640" w:firstLineChars="200"/>
        <w:rPr>
          <w:szCs w:val="32"/>
        </w:rPr>
      </w:pPr>
      <w:r>
        <w:rPr>
          <w:rFonts w:hint="eastAsia"/>
          <w:szCs w:val="32"/>
        </w:rPr>
        <w:t>每批次随机抽取产品4支，每支截取长度为1000mm的钢管2支，共8支，分别在每支钢管上标注代号（1a、1b、2a、2b......），其中4支标记a的样品为检验样品，4支标记b的样品为备份样品。</w:t>
      </w:r>
    </w:p>
    <w:p>
      <w:pPr>
        <w:snapToGrid w:val="0"/>
        <w:spacing w:line="560" w:lineRule="exact"/>
        <w:ind w:firstLine="640" w:firstLineChars="200"/>
        <w:rPr>
          <w:szCs w:val="32"/>
        </w:rPr>
      </w:pPr>
      <w:r>
        <w:rPr>
          <w:rFonts w:hint="eastAsia"/>
          <w:szCs w:val="32"/>
        </w:rPr>
        <w:t>抽样人员应确认所有管材产品的规格尺寸（外径或边长、壁厚）、产品的牌号（例如06Cr19Ni10等）等</w:t>
      </w:r>
      <w:r>
        <w:rPr>
          <w:szCs w:val="32"/>
        </w:rPr>
        <w:t>。</w:t>
      </w:r>
    </w:p>
    <w:p>
      <w:pPr>
        <w:snapToGrid w:val="0"/>
        <w:spacing w:line="560" w:lineRule="exact"/>
        <w:ind w:firstLine="640" w:firstLineChars="200"/>
        <w:rPr>
          <w:rFonts w:eastAsia="黑体"/>
          <w:szCs w:val="32"/>
        </w:rPr>
      </w:pPr>
      <w:r>
        <w:rPr>
          <w:rFonts w:eastAsia="黑体"/>
          <w:szCs w:val="32"/>
        </w:rPr>
        <w:t>2 检验依据</w:t>
      </w:r>
    </w:p>
    <w:tbl>
      <w:tblPr>
        <w:tblStyle w:val="4"/>
        <w:tblW w:w="91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3990"/>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123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宋体"/>
                <w:sz w:val="21"/>
              </w:rPr>
            </w:pPr>
            <w:r>
              <w:rPr>
                <w:rFonts w:hint="eastAsia" w:eastAsia="宋体"/>
                <w:sz w:val="21"/>
              </w:rPr>
              <w:t>序号</w:t>
            </w:r>
          </w:p>
        </w:tc>
        <w:tc>
          <w:tcPr>
            <w:tcW w:w="399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宋体"/>
                <w:sz w:val="21"/>
              </w:rPr>
            </w:pPr>
            <w:r>
              <w:rPr>
                <w:rFonts w:hint="eastAsia" w:eastAsia="宋体"/>
                <w:sz w:val="21"/>
              </w:rPr>
              <w:t>检验项目</w:t>
            </w:r>
          </w:p>
        </w:tc>
        <w:tc>
          <w:tcPr>
            <w:tcW w:w="394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宋体"/>
                <w:sz w:val="21"/>
              </w:rPr>
            </w:pPr>
            <w:r>
              <w:rPr>
                <w:rFonts w:hint="eastAsia" w:eastAsia="宋体"/>
                <w:sz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p>
        </w:tc>
        <w:tc>
          <w:tcPr>
            <w:tcW w:w="39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外径（边长）</w:t>
            </w:r>
          </w:p>
        </w:tc>
        <w:tc>
          <w:tcPr>
            <w:tcW w:w="394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YB/T 5363-2016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p>
        </w:tc>
        <w:tc>
          <w:tcPr>
            <w:tcW w:w="39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壁厚</w:t>
            </w:r>
          </w:p>
        </w:tc>
        <w:tc>
          <w:tcPr>
            <w:tcW w:w="394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YB/T 5363-2016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3</w:t>
            </w:r>
          </w:p>
        </w:tc>
        <w:tc>
          <w:tcPr>
            <w:tcW w:w="39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抗拉强度</w:t>
            </w:r>
          </w:p>
        </w:tc>
        <w:tc>
          <w:tcPr>
            <w:tcW w:w="394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228.1-2021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4</w:t>
            </w:r>
          </w:p>
        </w:tc>
        <w:tc>
          <w:tcPr>
            <w:tcW w:w="39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规定塑性延伸强度</w:t>
            </w:r>
          </w:p>
        </w:tc>
        <w:tc>
          <w:tcPr>
            <w:tcW w:w="3942" w:type="dxa"/>
            <w:tcBorders>
              <w:top w:val="single" w:color="auto" w:sz="4" w:space="0"/>
              <w:left w:val="single" w:color="auto" w:sz="4" w:space="0"/>
              <w:bottom w:val="single" w:color="auto" w:sz="4" w:space="0"/>
              <w:right w:val="single" w:color="auto" w:sz="4" w:space="0"/>
            </w:tcBorders>
          </w:tcPr>
          <w:p>
            <w:pPr>
              <w:jc w:val="center"/>
              <w:rPr>
                <w:rFonts w:eastAsia="宋体"/>
                <w:sz w:val="21"/>
              </w:rPr>
            </w:pPr>
            <w:r>
              <w:rPr>
                <w:rFonts w:hint="eastAsia" w:eastAsia="宋体"/>
                <w:sz w:val="21"/>
              </w:rPr>
              <w:t>GB/T 228.1-2021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5</w:t>
            </w:r>
          </w:p>
        </w:tc>
        <w:tc>
          <w:tcPr>
            <w:tcW w:w="39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断后伸长率</w:t>
            </w:r>
          </w:p>
        </w:tc>
        <w:tc>
          <w:tcPr>
            <w:tcW w:w="3942" w:type="dxa"/>
            <w:tcBorders>
              <w:top w:val="single" w:color="auto" w:sz="4" w:space="0"/>
              <w:left w:val="single" w:color="auto" w:sz="4" w:space="0"/>
              <w:bottom w:val="single" w:color="auto" w:sz="4" w:space="0"/>
              <w:right w:val="single" w:color="auto" w:sz="4" w:space="0"/>
            </w:tcBorders>
          </w:tcPr>
          <w:p>
            <w:pPr>
              <w:jc w:val="center"/>
              <w:rPr>
                <w:rFonts w:eastAsia="宋体"/>
                <w:sz w:val="21"/>
              </w:rPr>
            </w:pPr>
            <w:r>
              <w:rPr>
                <w:rFonts w:hint="eastAsia" w:eastAsia="宋体"/>
                <w:sz w:val="21"/>
              </w:rPr>
              <w:t xml:space="preserve">GB/T 228.1-2021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6</w:t>
            </w:r>
          </w:p>
        </w:tc>
        <w:tc>
          <w:tcPr>
            <w:tcW w:w="39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压扁试验（圆管）</w:t>
            </w:r>
          </w:p>
        </w:tc>
        <w:tc>
          <w:tcPr>
            <w:tcW w:w="394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246-2017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7</w:t>
            </w:r>
          </w:p>
        </w:tc>
        <w:tc>
          <w:tcPr>
            <w:tcW w:w="39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弯曲试验</w:t>
            </w:r>
          </w:p>
        </w:tc>
        <w:tc>
          <w:tcPr>
            <w:tcW w:w="394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232-2010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8</w:t>
            </w:r>
          </w:p>
        </w:tc>
        <w:tc>
          <w:tcPr>
            <w:tcW w:w="39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化学成分</w:t>
            </w:r>
          </w:p>
        </w:tc>
        <w:tc>
          <w:tcPr>
            <w:tcW w:w="394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11170-2008、</w:t>
            </w:r>
          </w:p>
          <w:p>
            <w:pPr>
              <w:tabs>
                <w:tab w:val="left" w:pos="420"/>
              </w:tabs>
              <w:jc w:val="center"/>
              <w:rPr>
                <w:rFonts w:eastAsia="宋体"/>
                <w:sz w:val="21"/>
              </w:rPr>
            </w:pPr>
            <w:r>
              <w:rPr>
                <w:rFonts w:hint="eastAsia" w:eastAsia="宋体"/>
                <w:sz w:val="21"/>
              </w:rPr>
              <w:t>GB/T 20123-2006、</w:t>
            </w:r>
          </w:p>
          <w:p>
            <w:pPr>
              <w:tabs>
                <w:tab w:val="left" w:pos="420"/>
              </w:tabs>
              <w:jc w:val="center"/>
              <w:rPr>
                <w:rFonts w:eastAsia="宋体"/>
                <w:sz w:val="21"/>
              </w:rPr>
            </w:pPr>
            <w:r>
              <w:rPr>
                <w:rFonts w:hint="eastAsia" w:eastAsia="宋体"/>
                <w:sz w:val="21"/>
              </w:rPr>
              <w:t>GB/T 20124-2006、</w:t>
            </w:r>
          </w:p>
          <w:p>
            <w:pPr>
              <w:jc w:val="center"/>
              <w:rPr>
                <w:rFonts w:eastAsia="宋体"/>
                <w:sz w:val="21"/>
              </w:rPr>
            </w:pPr>
            <w:r>
              <w:rPr>
                <w:rFonts w:hint="eastAsia" w:eastAsia="宋体"/>
                <w:sz w:val="21"/>
              </w:rPr>
              <w:t>GB/T 223.11、GB/T 223.16、GB/T 223.25、GB/T 223.28、GB/T 223.37、GB/T 223.40、GB/T 223.60、GB/T 223.62、GB/T 223.63、GB/T 223.68、GB/T 223.69</w:t>
            </w:r>
          </w:p>
        </w:tc>
      </w:tr>
    </w:tbl>
    <w:p>
      <w:pPr>
        <w:snapToGrid w:val="0"/>
        <w:spacing w:line="540" w:lineRule="exact"/>
        <w:ind w:firstLine="640" w:firstLineChars="200"/>
        <w:rPr>
          <w:szCs w:val="32"/>
        </w:rPr>
      </w:pPr>
      <w:r>
        <w:rPr>
          <w:rFonts w:hint="eastAsia"/>
          <w:szCs w:val="32"/>
        </w:rPr>
        <w:t>执行企业标准、团体标准、地方标准的产品，检验项目参照上述内容执行。</w:t>
      </w:r>
    </w:p>
    <w:p>
      <w:pPr>
        <w:snapToGrid w:val="0"/>
        <w:spacing w:line="540" w:lineRule="exact"/>
        <w:ind w:firstLine="640"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40" w:lineRule="exact"/>
        <w:ind w:firstLine="640" w:firstLineChars="200"/>
        <w:rPr>
          <w:rFonts w:eastAsia="黑体"/>
          <w:szCs w:val="32"/>
        </w:rPr>
      </w:pPr>
      <w:r>
        <w:rPr>
          <w:rFonts w:eastAsia="黑体"/>
          <w:szCs w:val="32"/>
        </w:rPr>
        <w:t>3 判定规则</w:t>
      </w:r>
    </w:p>
    <w:p>
      <w:pPr>
        <w:snapToGrid w:val="0"/>
        <w:spacing w:line="540" w:lineRule="exact"/>
        <w:ind w:firstLine="640" w:firstLineChars="200"/>
        <w:rPr>
          <w:szCs w:val="32"/>
        </w:rPr>
      </w:pPr>
      <w:r>
        <w:rPr>
          <w:szCs w:val="32"/>
        </w:rPr>
        <w:t>3.1依据标准</w:t>
      </w:r>
    </w:p>
    <w:p>
      <w:pPr>
        <w:snapToGrid w:val="0"/>
        <w:spacing w:line="540" w:lineRule="exact"/>
        <w:ind w:firstLine="640" w:firstLineChars="200"/>
        <w:rPr>
          <w:szCs w:val="32"/>
        </w:rPr>
      </w:pPr>
      <w:r>
        <w:rPr>
          <w:rFonts w:hint="eastAsia"/>
          <w:szCs w:val="32"/>
        </w:rPr>
        <w:t>YB/T 5363-2016 装饰用焊接不锈钢管</w:t>
      </w:r>
    </w:p>
    <w:p>
      <w:pPr>
        <w:snapToGrid w:val="0"/>
        <w:spacing w:line="540" w:lineRule="exact"/>
        <w:ind w:firstLine="640" w:firstLineChars="200"/>
        <w:rPr>
          <w:szCs w:val="32"/>
        </w:rPr>
      </w:pPr>
      <w:r>
        <w:rPr>
          <w:szCs w:val="32"/>
        </w:rPr>
        <w:t>现行有效的企业标准、团体标准、地方标准及产品明示质量要求</w:t>
      </w:r>
    </w:p>
    <w:p>
      <w:pPr>
        <w:snapToGrid w:val="0"/>
        <w:spacing w:line="540" w:lineRule="exact"/>
        <w:ind w:firstLine="640" w:firstLineChars="200"/>
        <w:rPr>
          <w:szCs w:val="32"/>
        </w:rPr>
      </w:pPr>
      <w:r>
        <w:rPr>
          <w:szCs w:val="32"/>
        </w:rPr>
        <w:t>3.2判定原则</w:t>
      </w:r>
    </w:p>
    <w:p>
      <w:pPr>
        <w:snapToGrid w:val="0"/>
        <w:spacing w:line="540" w:lineRule="exact"/>
        <w:ind w:firstLine="640"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40" w:lineRule="exact"/>
        <w:ind w:firstLine="640" w:firstLineChars="200"/>
        <w:rPr>
          <w:szCs w:val="32"/>
        </w:rPr>
      </w:pPr>
      <w:r>
        <w:rPr>
          <w:szCs w:val="32"/>
        </w:rPr>
        <w:t>若被检产品明示的质量要求高于本细则中检验项目依据的标准要求时，应按被检产品明示的质量要求判定。</w:t>
      </w:r>
    </w:p>
    <w:p>
      <w:pPr>
        <w:snapToGrid w:val="0"/>
        <w:spacing w:line="540" w:lineRule="exact"/>
        <w:ind w:firstLine="640" w:firstLineChars="200"/>
        <w:rPr>
          <w:szCs w:val="32"/>
        </w:rPr>
      </w:pPr>
      <w:r>
        <w:rPr>
          <w:szCs w:val="32"/>
        </w:rPr>
        <w:t>若被检产品明示的质量要求低于本细则中检验项目依据的强制性标准要求时，应按照强制性标准要求判定。</w:t>
      </w:r>
    </w:p>
    <w:p>
      <w:pPr>
        <w:snapToGrid w:val="0"/>
        <w:spacing w:line="540" w:lineRule="exact"/>
        <w:ind w:firstLine="640" w:firstLineChars="200"/>
        <w:rPr>
          <w:szCs w:val="32"/>
        </w:rPr>
      </w:pPr>
      <w:r>
        <w:rPr>
          <w:szCs w:val="32"/>
        </w:rPr>
        <w:t>若被检产品明示的质量要求低于或包含本细则中检验项目依据的推荐性标准要求时，应以被检产品明示的质量要求判定。</w:t>
      </w:r>
    </w:p>
    <w:p>
      <w:pPr>
        <w:snapToGrid w:val="0"/>
        <w:spacing w:line="540" w:lineRule="exact"/>
        <w:ind w:firstLine="640" w:firstLineChars="200"/>
        <w:rPr>
          <w:szCs w:val="32"/>
        </w:rPr>
      </w:pPr>
      <w:r>
        <w:rPr>
          <w:szCs w:val="32"/>
        </w:rPr>
        <w:t>若被检产品明示的质量要求缺少本细则中检验项目依据的强制性标准要求时，应按照强制性标准要求判定。</w:t>
      </w:r>
    </w:p>
    <w:p>
      <w:pPr>
        <w:snapToGrid w:val="0"/>
        <w:spacing w:line="540" w:lineRule="exact"/>
        <w:ind w:firstLine="640" w:firstLineChars="200"/>
      </w:pPr>
      <w:r>
        <w:rPr>
          <w:szCs w:val="32"/>
        </w:rPr>
        <w:t>若被检产品明示的质量要求缺少本细则中检验项目依据的推荐性标准要求时，该项目不参与判定。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1D33EB"/>
    <w:rsid w:val="00004430"/>
    <w:rsid w:val="001C1410"/>
    <w:rsid w:val="00625CF1"/>
    <w:rsid w:val="00DC4D17"/>
    <w:rsid w:val="00EC797C"/>
    <w:rsid w:val="0F1D33EB"/>
    <w:rsid w:val="5E9D0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imes New Roman" w:hAnsi="Times New Roman" w:eastAsia="仿宋_GB2312" w:cs="Times New Roman"/>
      <w:kern w:val="2"/>
      <w:sz w:val="18"/>
      <w:szCs w:val="18"/>
    </w:rPr>
  </w:style>
  <w:style w:type="character" w:customStyle="1" w:styleId="7">
    <w:name w:val="页脚 Char"/>
    <w:basedOn w:val="5"/>
    <w:link w:val="2"/>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2</Pages>
  <Words>166</Words>
  <Characters>952</Characters>
  <Lines>7</Lines>
  <Paragraphs>2</Paragraphs>
  <TotalTime>1</TotalTime>
  <ScaleCrop>false</ScaleCrop>
  <LinksUpToDate>false</LinksUpToDate>
  <CharactersWithSpaces>1116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2024-04-28T10:40:00Z</dcterms:created>
  <dc:creator>JYJC</dc:creator>
  <cp:lastModifiedBy>YWB</cp:lastModifiedBy>
  <dcterms:modified xsi:type="dcterms:W3CDTF">2024-04-29T01:43:56Z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