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附件</w:t>
      </w:r>
      <w:bookmarkStart w:id="3" w:name="_GoBack"/>
      <w:bookmarkEnd w:id="3"/>
      <w:r>
        <w:rPr>
          <w:rFonts w:hint="eastAsia" w:ascii="黑体" w:hAnsi="黑体" w:eastAsia="黑体"/>
          <w:szCs w:val="32"/>
        </w:rPr>
        <w:t>：</w:t>
      </w:r>
    </w:p>
    <w:p>
      <w:pPr>
        <w:spacing w:line="660" w:lineRule="exact"/>
        <w:jc w:val="center"/>
        <w:rPr>
          <w:rFonts w:ascii="方正小标宋简体" w:eastAsia="方正小标宋简体"/>
          <w:sz w:val="44"/>
          <w:szCs w:val="44"/>
        </w:rPr>
      </w:pPr>
      <w:bookmarkStart w:id="0" w:name="_Hlk36580363"/>
      <w:bookmarkStart w:id="1" w:name="_Hlk37264877"/>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东莞市</w:t>
      </w:r>
      <w:bookmarkStart w:id="2" w:name="_Hlk37264821"/>
      <w:r>
        <w:rPr>
          <w:rFonts w:hint="eastAsia" w:ascii="方正小标宋简体" w:eastAsia="方正小标宋简体"/>
          <w:sz w:val="44"/>
          <w:szCs w:val="44"/>
        </w:rPr>
        <w:t>产业知识产权运营服务平台项目</w:t>
      </w:r>
      <w:bookmarkEnd w:id="0"/>
      <w:bookmarkEnd w:id="2"/>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申报指南</w:t>
      </w:r>
      <w:bookmarkEnd w:id="1"/>
    </w:p>
    <w:p>
      <w:pPr>
        <w:spacing w:line="600" w:lineRule="exact"/>
        <w:rPr>
          <w:szCs w:val="32"/>
        </w:rPr>
      </w:pPr>
    </w:p>
    <w:p>
      <w:pPr>
        <w:spacing w:line="580" w:lineRule="exact"/>
        <w:ind w:firstLine="640" w:firstLineChars="200"/>
        <w:rPr>
          <w:rFonts w:ascii="黑体" w:hAnsi="黑体" w:eastAsia="黑体" w:cs="黑体"/>
          <w:szCs w:val="32"/>
        </w:rPr>
      </w:pPr>
      <w:r>
        <w:rPr>
          <w:rFonts w:hint="eastAsia" w:ascii="黑体" w:hAnsi="黑体" w:eastAsia="黑体" w:cs="黑体"/>
          <w:szCs w:val="32"/>
        </w:rPr>
        <w:t>一、项目名称</w:t>
      </w:r>
    </w:p>
    <w:p>
      <w:pPr>
        <w:spacing w:line="580" w:lineRule="exact"/>
        <w:ind w:firstLine="640" w:firstLineChars="200"/>
        <w:rPr>
          <w:strike/>
          <w:color w:val="FF0000"/>
          <w:szCs w:val="32"/>
        </w:rPr>
      </w:pPr>
      <w:r>
        <w:rPr>
          <w:rFonts w:hint="eastAsia"/>
          <w:szCs w:val="32"/>
        </w:rPr>
        <w:t>东莞市产业知识产权运营平台项目。</w:t>
      </w:r>
    </w:p>
    <w:p>
      <w:pPr>
        <w:spacing w:line="580" w:lineRule="exact"/>
        <w:ind w:firstLine="640" w:firstLineChars="200"/>
        <w:rPr>
          <w:rFonts w:ascii="黑体" w:hAnsi="黑体" w:eastAsia="黑体" w:cs="黑体"/>
          <w:szCs w:val="32"/>
        </w:rPr>
      </w:pPr>
      <w:r>
        <w:rPr>
          <w:rFonts w:hint="eastAsia" w:ascii="黑体" w:hAnsi="黑体" w:eastAsia="黑体" w:cs="黑体"/>
          <w:szCs w:val="32"/>
        </w:rPr>
        <w:t>二、项目目标</w:t>
      </w:r>
    </w:p>
    <w:p>
      <w:pPr>
        <w:spacing w:line="580" w:lineRule="exact"/>
        <w:ind w:firstLine="640" w:firstLineChars="200"/>
        <w:rPr>
          <w:szCs w:val="32"/>
        </w:rPr>
      </w:pPr>
      <w:r>
        <w:rPr>
          <w:rFonts w:hint="eastAsia"/>
          <w:szCs w:val="32"/>
        </w:rPr>
        <w:t>通过实施本项目，建设一批重点新兴产业和传统优势产业知识产权运营服务平台，构建线上线下相结合的方式，通过专利布局、组合、托管、转让、许可、质押融资、证券化、作价入股、构建专利池、形成技术标准、专利诉讼</w:t>
      </w:r>
      <w:r>
        <w:rPr>
          <w:rFonts w:hint="eastAsia"/>
          <w:color w:val="5B9BD5" w:themeColor="accent1"/>
          <w:szCs w:val="32"/>
        </w:rPr>
        <w:t>、</w:t>
      </w:r>
      <w:r>
        <w:rPr>
          <w:rFonts w:hint="eastAsia"/>
          <w:szCs w:val="32"/>
        </w:rPr>
        <w:t>专利技术对接等多种方式盘活知识产权资源，充分发挥知识产权在产业发展中的支撑作用，推动相关产业高质量发展。</w:t>
      </w:r>
    </w:p>
    <w:p>
      <w:pPr>
        <w:spacing w:line="580" w:lineRule="exact"/>
        <w:ind w:firstLine="640" w:firstLineChars="200"/>
        <w:rPr>
          <w:rFonts w:eastAsia="黑体"/>
          <w:color w:val="5B9BD5" w:themeColor="accent1"/>
          <w:szCs w:val="32"/>
        </w:rPr>
      </w:pPr>
      <w:r>
        <w:rPr>
          <w:rFonts w:hint="eastAsia" w:eastAsia="黑体"/>
          <w:szCs w:val="32"/>
        </w:rPr>
        <w:t>三、项目任务</w:t>
      </w:r>
    </w:p>
    <w:p>
      <w:pPr>
        <w:spacing w:line="600" w:lineRule="exact"/>
        <w:ind w:firstLine="618"/>
        <w:rPr>
          <w:szCs w:val="32"/>
        </w:rPr>
      </w:pPr>
      <w:r>
        <w:rPr>
          <w:rFonts w:hint="eastAsia"/>
          <w:szCs w:val="32"/>
        </w:rPr>
        <w:t>项目任务包括但不限于以下内容：</w:t>
      </w:r>
    </w:p>
    <w:p>
      <w:pPr>
        <w:spacing w:line="600" w:lineRule="exact"/>
        <w:ind w:firstLine="618"/>
        <w:rPr>
          <w:color w:val="70AD47" w:themeColor="accent6"/>
          <w:szCs w:val="32"/>
        </w:rPr>
      </w:pPr>
      <w:r>
        <w:rPr>
          <w:rFonts w:hint="eastAsia"/>
          <w:szCs w:val="32"/>
        </w:rPr>
        <w:t>（一）建设产业知识产权运营平台。建成集展示、运营、服务、专利培育等功能一体的产业知识产权运营平台，建立组织管理运营体系，完善管理制度，优化业务流程，加强运营人才引进、培育、激励力度。引导产业重点企业、高校科研院所、产业联盟、商协会以及各类服务机构各方资源投入和协调运作，实现区域产业内各主体合作共享、共同发展。</w:t>
      </w:r>
    </w:p>
    <w:p>
      <w:pPr>
        <w:spacing w:line="600" w:lineRule="exact"/>
        <w:ind w:firstLine="618"/>
        <w:rPr>
          <w:szCs w:val="32"/>
        </w:rPr>
      </w:pPr>
      <w:r>
        <w:rPr>
          <w:rFonts w:hint="eastAsia"/>
          <w:szCs w:val="32"/>
        </w:rPr>
        <w:t>（二）加强产业与知识产权数据融合利用。建立相应产业知识产权数据库，数据库建成后，需实现月度更新，承诺向我市有关部门提供知识产权数据接口，为我市知识产权工作提供数据服务；提供知识产权运营信息服务。建立具备安全性、稳定性的互联网信息平台（平台官网），网站功能模块设计合理、操作简单，不定期发布相关行业知识产权信息，做好宣传推广。</w:t>
      </w:r>
    </w:p>
    <w:p>
      <w:pPr>
        <w:spacing w:line="600" w:lineRule="exact"/>
        <w:ind w:firstLine="618"/>
        <w:rPr>
          <w:szCs w:val="32"/>
        </w:rPr>
      </w:pPr>
      <w:r>
        <w:rPr>
          <w:rFonts w:hint="eastAsia"/>
          <w:szCs w:val="32"/>
        </w:rPr>
        <w:t>（三）开展产业知识产权竞争力分析。建立相关产业知识产权</w:t>
      </w:r>
      <w:r>
        <w:rPr>
          <w:szCs w:val="32"/>
        </w:rPr>
        <w:t>主要竞争对手</w:t>
      </w:r>
      <w:r>
        <w:rPr>
          <w:rFonts w:hint="eastAsia"/>
          <w:szCs w:val="32"/>
        </w:rPr>
        <w:t>情报库，</w:t>
      </w:r>
      <w:r>
        <w:rPr>
          <w:szCs w:val="32"/>
        </w:rPr>
        <w:t>开展国际国内</w:t>
      </w:r>
      <w:r>
        <w:rPr>
          <w:rFonts w:hint="eastAsia"/>
          <w:szCs w:val="32"/>
        </w:rPr>
        <w:t>相关</w:t>
      </w:r>
      <w:r>
        <w:rPr>
          <w:szCs w:val="32"/>
        </w:rPr>
        <w:t>产业主要竞争对手分析，</w:t>
      </w:r>
      <w:r>
        <w:rPr>
          <w:rFonts w:hint="eastAsia"/>
          <w:szCs w:val="32"/>
        </w:rPr>
        <w:t>分析</w:t>
      </w:r>
      <w:r>
        <w:rPr>
          <w:szCs w:val="32"/>
        </w:rPr>
        <w:t>产业专利发展和分布情况，预测产业技术的发展趋势和产品市场需求，</w:t>
      </w:r>
      <w:r>
        <w:rPr>
          <w:rFonts w:hint="eastAsia"/>
          <w:szCs w:val="32"/>
        </w:rPr>
        <w:t>加强对外贸企业知识产权转化运用</w:t>
      </w:r>
      <w:r>
        <w:rPr>
          <w:szCs w:val="32"/>
        </w:rPr>
        <w:t>。</w:t>
      </w:r>
    </w:p>
    <w:p>
      <w:pPr>
        <w:spacing w:line="600" w:lineRule="exact"/>
        <w:ind w:firstLine="618"/>
        <w:rPr>
          <w:szCs w:val="32"/>
        </w:rPr>
      </w:pPr>
      <w:r>
        <w:rPr>
          <w:rFonts w:hint="eastAsia"/>
          <w:szCs w:val="32"/>
        </w:rPr>
        <w:t>（四）促进产业知识产权运营。聚集优质知识产权服务资源，为产业内各创新主体提供知识产权转让、许可、信息咨询、法律、金融、产业化等服务。平台建成后可运营专利数量不少于10000件，运营收入1000万元以上；知识产权托管服务企业不少于300家；研究生、中级及以上职称或专业人员（副高以上职称或专利代理师等其他专业资质）不少于50%；建立产业知识产权联盟，促进联盟成员开展专利交叉许可。定期开展知识产权法律服务、金融服务、维权服务、重大经济活动知识产权分析评</w:t>
      </w:r>
      <w:r>
        <w:rPr>
          <w:rFonts w:hint="eastAsia"/>
          <w:color w:val="000000" w:themeColor="text1"/>
          <w:szCs w:val="32"/>
        </w:rPr>
        <w:t>议、专利产业化项目对接等公共服务项目，配合知识产权管</w:t>
      </w:r>
      <w:r>
        <w:rPr>
          <w:rFonts w:hint="eastAsia"/>
          <w:szCs w:val="32"/>
        </w:rPr>
        <w:t>理部门推动知识产权工作的发展。</w:t>
      </w:r>
    </w:p>
    <w:p>
      <w:pPr>
        <w:spacing w:line="600" w:lineRule="exact"/>
        <w:ind w:firstLine="618"/>
        <w:rPr>
          <w:szCs w:val="32"/>
        </w:rPr>
      </w:pPr>
      <w:r>
        <w:rPr>
          <w:rFonts w:hint="eastAsia"/>
          <w:szCs w:val="32"/>
        </w:rPr>
        <w:t>（五）强化产业知识产权保护。开展产业知识产权风险预警分析与应对研究，建立知识产权保护综合信息库。积极引导产业内企业进行海外专利布局，推动产业协同创新和知识产权保护协同运用。</w:t>
      </w:r>
    </w:p>
    <w:p>
      <w:pPr>
        <w:spacing w:line="600" w:lineRule="exact"/>
        <w:ind w:firstLine="618"/>
        <w:rPr>
          <w:rFonts w:eastAsia="黑体"/>
          <w:szCs w:val="32"/>
        </w:rPr>
      </w:pPr>
      <w:r>
        <w:rPr>
          <w:rFonts w:hint="eastAsia"/>
          <w:szCs w:val="32"/>
        </w:rPr>
        <w:t>（六）提升产业知识产权整体水平。建成一个知识产权公共服务平台展厅，通过产业知识产权发展战略规划，</w:t>
      </w:r>
      <w:r>
        <w:rPr>
          <w:szCs w:val="32"/>
        </w:rPr>
        <w:t>企业知识产权业务咨询服务、宣传培训等措施，推动产业内相关企业整体知识产权管理能力的提升，推</w:t>
      </w:r>
      <w:r>
        <w:rPr>
          <w:rFonts w:hint="eastAsia"/>
          <w:szCs w:val="32"/>
        </w:rPr>
        <w:t>动</w:t>
      </w:r>
      <w:r>
        <w:rPr>
          <w:szCs w:val="32"/>
        </w:rPr>
        <w:t>产业的专利申请授权总量、企业贯标数量、知识产权示范优势企业数量等</w:t>
      </w:r>
      <w:r>
        <w:rPr>
          <w:rFonts w:hint="eastAsia"/>
          <w:szCs w:val="32"/>
        </w:rPr>
        <w:t>不断增加，为知识产权大数据、知识产权金融服务。</w:t>
      </w:r>
    </w:p>
    <w:p>
      <w:pPr>
        <w:spacing w:line="580" w:lineRule="exact"/>
        <w:ind w:firstLine="640" w:firstLineChars="200"/>
        <w:rPr>
          <w:rFonts w:eastAsia="黑体"/>
          <w:szCs w:val="32"/>
        </w:rPr>
      </w:pPr>
      <w:r>
        <w:rPr>
          <w:rFonts w:hint="eastAsia" w:eastAsia="黑体"/>
          <w:szCs w:val="32"/>
        </w:rPr>
        <w:t>三</w:t>
      </w:r>
      <w:r>
        <w:rPr>
          <w:rFonts w:eastAsia="黑体"/>
          <w:szCs w:val="32"/>
        </w:rPr>
        <w:t>、</w:t>
      </w:r>
      <w:r>
        <w:rPr>
          <w:rFonts w:hint="eastAsia" w:eastAsia="黑体"/>
          <w:szCs w:val="32"/>
        </w:rPr>
        <w:t>申报条件</w:t>
      </w:r>
    </w:p>
    <w:p>
      <w:pPr>
        <w:spacing w:line="580" w:lineRule="exact"/>
        <w:ind w:firstLine="640" w:firstLineChars="200"/>
        <w:rPr>
          <w:szCs w:val="32"/>
        </w:rPr>
      </w:pPr>
      <w:r>
        <w:rPr>
          <w:szCs w:val="32"/>
        </w:rPr>
        <w:t>（一）</w:t>
      </w:r>
      <w:r>
        <w:rPr>
          <w:rFonts w:hint="eastAsia"/>
          <w:szCs w:val="32"/>
        </w:rPr>
        <w:t>申报主体为注册在东莞市的具有独立法人资格的专业化知识产权运营公司；鼓励联合国家知识产权品牌服务机构、行业骨干龙头企业等共同申报。</w:t>
      </w:r>
    </w:p>
    <w:p>
      <w:pPr>
        <w:spacing w:line="580" w:lineRule="exact"/>
        <w:ind w:firstLine="640" w:firstLineChars="200"/>
        <w:rPr>
          <w:szCs w:val="32"/>
        </w:rPr>
      </w:pPr>
      <w:r>
        <w:rPr>
          <w:rFonts w:hint="eastAsia"/>
          <w:szCs w:val="32"/>
        </w:rPr>
        <w:t>（二）申报主体须与镇政府或园区管委会签订协议，明确镇街园区按照不低于1:1的比例落实配套资金支持及相关扶持政策。市级专项资金、镇街园区配套资金以及社会资金比例不低于1:1:1，按承担单位自有投入资金予以拨款。</w:t>
      </w:r>
    </w:p>
    <w:p>
      <w:pPr>
        <w:spacing w:line="580" w:lineRule="exact"/>
        <w:ind w:firstLine="640" w:firstLineChars="200"/>
        <w:rPr>
          <w:szCs w:val="32"/>
        </w:rPr>
      </w:pPr>
      <w:r>
        <w:rPr>
          <w:szCs w:val="32"/>
        </w:rPr>
        <w:t>（</w:t>
      </w:r>
      <w:r>
        <w:rPr>
          <w:rFonts w:hint="eastAsia"/>
          <w:szCs w:val="32"/>
        </w:rPr>
        <w:t>三</w:t>
      </w:r>
      <w:r>
        <w:rPr>
          <w:szCs w:val="32"/>
        </w:rPr>
        <w:t>）</w:t>
      </w:r>
      <w:r>
        <w:rPr>
          <w:rFonts w:hint="eastAsia"/>
          <w:szCs w:val="32"/>
        </w:rPr>
        <w:t>所属产业为我市重点新兴产业或传统优势产业。重点新兴产业的选择参照《东莞市重点新兴产业发展规划（2018-2025年）》，优先支持新一代信息技术产业、高端装备制造产业、新材料产业、新能源产业、生命科学和生物技术产业等具有高技术含量、高附加值、资源集约等特点的产业。传统优势产业的选择参照《关于确定我市工业支柱产业及特色产业的通知》（</w:t>
      </w:r>
      <w:r>
        <w:rPr>
          <w:szCs w:val="32"/>
        </w:rPr>
        <w:t>东府办函〔2011〕480号</w:t>
      </w:r>
      <w:r>
        <w:rPr>
          <w:rFonts w:hint="eastAsia"/>
          <w:szCs w:val="32"/>
        </w:rPr>
        <w:t>），优先支持我市五大支柱产业、四大特色产业和产业集群的专业镇。</w:t>
      </w:r>
    </w:p>
    <w:p>
      <w:pPr>
        <w:spacing w:line="580" w:lineRule="exact"/>
        <w:ind w:firstLine="640" w:firstLineChars="200"/>
        <w:rPr>
          <w:szCs w:val="32"/>
        </w:rPr>
      </w:pPr>
      <w:r>
        <w:rPr>
          <w:rFonts w:hint="eastAsia"/>
          <w:szCs w:val="32"/>
        </w:rPr>
        <w:t>（四）具备较好的知识产权运营基础。拥有不少于</w:t>
      </w:r>
      <w:r>
        <w:rPr>
          <w:szCs w:val="32"/>
        </w:rPr>
        <w:t>500</w:t>
      </w:r>
      <w:r>
        <w:rPr>
          <w:rFonts w:hint="eastAsia"/>
          <w:szCs w:val="32"/>
        </w:rPr>
        <w:t>平方米的工作场所，有开展知识产权运营服务必要的设施设备；具备一定数量的知识产权运营人才，在东莞市缴纳社保人员10人以上，其中研究生、中级及以上职称或专业人员（副高以上职称或专利代理师等其他专业资质）不少于30%；具备充足的运营经费保障平台正常运行。</w:t>
      </w:r>
    </w:p>
    <w:p>
      <w:pPr>
        <w:spacing w:line="580" w:lineRule="exact"/>
        <w:ind w:firstLine="640" w:firstLineChars="200"/>
        <w:rPr>
          <w:szCs w:val="32"/>
        </w:rPr>
      </w:pPr>
      <w:r>
        <w:rPr>
          <w:rFonts w:hint="eastAsia"/>
          <w:szCs w:val="32"/>
        </w:rPr>
        <w:t>（五）制定了明确的3年运营规划。长期规划布局科学合理，中期目标任务明确清晰，短期工作措施扎实可行；具备相对成熟的运营模式、管理模式和人才引进模式；初步形成了具有激励性的各方收益分配机制和开放性的关联平台协作机制。</w:t>
      </w:r>
    </w:p>
    <w:p>
      <w:pPr>
        <w:spacing w:line="580" w:lineRule="exact"/>
        <w:ind w:firstLine="640" w:firstLineChars="200"/>
        <w:rPr>
          <w:rFonts w:eastAsia="黑体"/>
          <w:szCs w:val="32"/>
        </w:rPr>
      </w:pPr>
      <w:r>
        <w:rPr>
          <w:rFonts w:hint="eastAsia" w:eastAsia="黑体"/>
          <w:szCs w:val="32"/>
        </w:rPr>
        <w:t>四</w:t>
      </w:r>
      <w:r>
        <w:rPr>
          <w:rFonts w:eastAsia="黑体"/>
          <w:szCs w:val="32"/>
        </w:rPr>
        <w:t>、申报</w:t>
      </w:r>
      <w:r>
        <w:rPr>
          <w:rFonts w:hint="eastAsia" w:eastAsia="黑体"/>
          <w:szCs w:val="32"/>
        </w:rPr>
        <w:t>材料</w:t>
      </w:r>
    </w:p>
    <w:p>
      <w:pPr>
        <w:spacing w:line="580" w:lineRule="exact"/>
        <w:ind w:firstLine="640" w:firstLineChars="200"/>
        <w:rPr>
          <w:szCs w:val="32"/>
        </w:rPr>
      </w:pPr>
      <w:r>
        <w:rPr>
          <w:szCs w:val="32"/>
        </w:rPr>
        <w:t>（一）</w:t>
      </w:r>
      <w:r>
        <w:rPr>
          <w:rFonts w:hint="eastAsia"/>
          <w:szCs w:val="32"/>
        </w:rPr>
        <w:t>申报主体相关基本信息材料（企业营业执照、统一社会信用代码、税务登记证）；</w:t>
      </w:r>
    </w:p>
    <w:p>
      <w:pPr>
        <w:spacing w:line="580" w:lineRule="exact"/>
        <w:ind w:firstLine="640" w:firstLineChars="200"/>
        <w:rPr>
          <w:szCs w:val="32"/>
        </w:rPr>
      </w:pPr>
      <w:r>
        <w:rPr>
          <w:rFonts w:hint="eastAsia"/>
          <w:szCs w:val="32"/>
        </w:rPr>
        <w:t>（二）产业知识产权运营服务平台建设方案（场地证明材料、基础条件、建设任务、工作进度计划、资金使用计划等）；</w:t>
      </w:r>
    </w:p>
    <w:p>
      <w:pPr>
        <w:spacing w:line="580" w:lineRule="exact"/>
        <w:ind w:firstLine="640" w:firstLineChars="200"/>
        <w:rPr>
          <w:szCs w:val="32"/>
        </w:rPr>
      </w:pPr>
      <w:r>
        <w:rPr>
          <w:rFonts w:hint="eastAsia"/>
          <w:szCs w:val="32"/>
        </w:rPr>
        <w:t>（三）申报单位缴纳社保、学历、专业资质等证明材料，前期投入证明材料；</w:t>
      </w:r>
    </w:p>
    <w:p>
      <w:pPr>
        <w:spacing w:line="580" w:lineRule="exact"/>
        <w:ind w:firstLine="640" w:firstLineChars="200"/>
        <w:rPr>
          <w:szCs w:val="32"/>
        </w:rPr>
      </w:pPr>
      <w:r>
        <w:rPr>
          <w:rFonts w:hint="eastAsia"/>
          <w:szCs w:val="32"/>
        </w:rPr>
        <w:t>（四）三年发展规划或可行性报告；</w:t>
      </w:r>
    </w:p>
    <w:p>
      <w:pPr>
        <w:spacing w:line="580" w:lineRule="exact"/>
        <w:ind w:firstLine="640" w:firstLineChars="200"/>
        <w:rPr>
          <w:szCs w:val="32"/>
        </w:rPr>
      </w:pPr>
      <w:r>
        <w:rPr>
          <w:rFonts w:hint="eastAsia"/>
          <w:szCs w:val="32"/>
        </w:rPr>
        <w:t>（五）其他相关证明材料如合作协议、申报单位开展培训、公益活动、论坛、高端人才引进培养、典型或成功案例、亮点创新等。</w:t>
      </w:r>
    </w:p>
    <w:p>
      <w:pPr>
        <w:spacing w:line="580" w:lineRule="exact"/>
        <w:ind w:firstLine="640" w:firstLineChars="200"/>
        <w:rPr>
          <w:rFonts w:ascii="黑体" w:hAnsi="黑体" w:eastAsia="黑体" w:cs="黑体"/>
          <w:szCs w:val="32"/>
        </w:rPr>
      </w:pPr>
      <w:r>
        <w:rPr>
          <w:rFonts w:hint="eastAsia" w:ascii="黑体" w:hAnsi="黑体" w:eastAsia="黑体" w:cs="黑体"/>
          <w:szCs w:val="32"/>
        </w:rPr>
        <w:t>五、项目资助</w:t>
      </w:r>
    </w:p>
    <w:p>
      <w:pPr>
        <w:spacing w:line="580" w:lineRule="exact"/>
        <w:ind w:firstLine="640" w:firstLineChars="200"/>
        <w:rPr>
          <w:szCs w:val="32"/>
        </w:rPr>
      </w:pPr>
      <w:r>
        <w:rPr>
          <w:rFonts w:hint="eastAsia"/>
          <w:szCs w:val="32"/>
        </w:rPr>
        <w:t>每个产业支持一项，每个产业知识产权运营服务平台</w:t>
      </w:r>
      <w:r>
        <w:rPr>
          <w:rFonts w:hAnsi="仿宋_GB2312"/>
          <w:szCs w:val="32"/>
        </w:rPr>
        <w:t>中央下达我市的服务业发展资金</w:t>
      </w:r>
      <w:r>
        <w:rPr>
          <w:rFonts w:hint="eastAsia"/>
          <w:szCs w:val="32"/>
        </w:rPr>
        <w:t>最高资助不超过300万元。</w:t>
      </w:r>
    </w:p>
    <w:sectPr>
      <w:pgSz w:w="11906" w:h="16838"/>
      <w:pgMar w:top="1440" w:right="1800" w:bottom="147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00759"/>
    <w:rsid w:val="000A3F66"/>
    <w:rsid w:val="000B114A"/>
    <w:rsid w:val="000B7F0D"/>
    <w:rsid w:val="000C5F3B"/>
    <w:rsid w:val="000E29B4"/>
    <w:rsid w:val="00120376"/>
    <w:rsid w:val="00120797"/>
    <w:rsid w:val="00133B78"/>
    <w:rsid w:val="001542B2"/>
    <w:rsid w:val="00163B78"/>
    <w:rsid w:val="00175B4F"/>
    <w:rsid w:val="00180891"/>
    <w:rsid w:val="001905BB"/>
    <w:rsid w:val="001F0B7F"/>
    <w:rsid w:val="001F2D70"/>
    <w:rsid w:val="00200788"/>
    <w:rsid w:val="0021116E"/>
    <w:rsid w:val="00230222"/>
    <w:rsid w:val="00236FA0"/>
    <w:rsid w:val="00281E45"/>
    <w:rsid w:val="002827A2"/>
    <w:rsid w:val="00286F7C"/>
    <w:rsid w:val="00294E3A"/>
    <w:rsid w:val="002A231D"/>
    <w:rsid w:val="002F68B4"/>
    <w:rsid w:val="003227DD"/>
    <w:rsid w:val="00351A59"/>
    <w:rsid w:val="00392795"/>
    <w:rsid w:val="003B6046"/>
    <w:rsid w:val="003B7942"/>
    <w:rsid w:val="003C13E9"/>
    <w:rsid w:val="00412509"/>
    <w:rsid w:val="00414E9B"/>
    <w:rsid w:val="0042554F"/>
    <w:rsid w:val="00447AB6"/>
    <w:rsid w:val="00475055"/>
    <w:rsid w:val="004E2924"/>
    <w:rsid w:val="005149EB"/>
    <w:rsid w:val="0051662C"/>
    <w:rsid w:val="005343E9"/>
    <w:rsid w:val="00564FF7"/>
    <w:rsid w:val="005706DC"/>
    <w:rsid w:val="00574FFF"/>
    <w:rsid w:val="00586788"/>
    <w:rsid w:val="005B4CEF"/>
    <w:rsid w:val="005C209D"/>
    <w:rsid w:val="005C631E"/>
    <w:rsid w:val="005D79E9"/>
    <w:rsid w:val="005E0BE2"/>
    <w:rsid w:val="005E3F93"/>
    <w:rsid w:val="00611B64"/>
    <w:rsid w:val="006323FF"/>
    <w:rsid w:val="006548B0"/>
    <w:rsid w:val="006712DF"/>
    <w:rsid w:val="0067641E"/>
    <w:rsid w:val="006962AD"/>
    <w:rsid w:val="006A5CAD"/>
    <w:rsid w:val="006E2B7E"/>
    <w:rsid w:val="006F7FDE"/>
    <w:rsid w:val="007361A6"/>
    <w:rsid w:val="007E4BCE"/>
    <w:rsid w:val="007F43F0"/>
    <w:rsid w:val="00820A5D"/>
    <w:rsid w:val="00857A31"/>
    <w:rsid w:val="00894FD8"/>
    <w:rsid w:val="008A275E"/>
    <w:rsid w:val="008A7280"/>
    <w:rsid w:val="008D1B7A"/>
    <w:rsid w:val="008F5A72"/>
    <w:rsid w:val="008F73BF"/>
    <w:rsid w:val="009042D9"/>
    <w:rsid w:val="00923BC1"/>
    <w:rsid w:val="0092519A"/>
    <w:rsid w:val="00941527"/>
    <w:rsid w:val="0098752B"/>
    <w:rsid w:val="00987F14"/>
    <w:rsid w:val="00994181"/>
    <w:rsid w:val="009C05E5"/>
    <w:rsid w:val="009C07AF"/>
    <w:rsid w:val="009E00EE"/>
    <w:rsid w:val="009F29A8"/>
    <w:rsid w:val="00A06DF8"/>
    <w:rsid w:val="00A1518C"/>
    <w:rsid w:val="00A42C96"/>
    <w:rsid w:val="00A84CD5"/>
    <w:rsid w:val="00AF3329"/>
    <w:rsid w:val="00B0066E"/>
    <w:rsid w:val="00B16DDE"/>
    <w:rsid w:val="00B20C77"/>
    <w:rsid w:val="00BA5A29"/>
    <w:rsid w:val="00BB7C8C"/>
    <w:rsid w:val="00BD09D6"/>
    <w:rsid w:val="00BE3228"/>
    <w:rsid w:val="00C12FE9"/>
    <w:rsid w:val="00C16850"/>
    <w:rsid w:val="00C750EB"/>
    <w:rsid w:val="00CA26BB"/>
    <w:rsid w:val="00D0507C"/>
    <w:rsid w:val="00D32818"/>
    <w:rsid w:val="00D37691"/>
    <w:rsid w:val="00D403E4"/>
    <w:rsid w:val="00DA5285"/>
    <w:rsid w:val="00E15268"/>
    <w:rsid w:val="00E7776C"/>
    <w:rsid w:val="00EB6A5F"/>
    <w:rsid w:val="00ED0326"/>
    <w:rsid w:val="00F27A97"/>
    <w:rsid w:val="00F62FAF"/>
    <w:rsid w:val="00FA7629"/>
    <w:rsid w:val="00FA7DC9"/>
    <w:rsid w:val="00FB1168"/>
    <w:rsid w:val="02A31CD7"/>
    <w:rsid w:val="03244179"/>
    <w:rsid w:val="037F230C"/>
    <w:rsid w:val="039025E6"/>
    <w:rsid w:val="03933C89"/>
    <w:rsid w:val="053C3CDD"/>
    <w:rsid w:val="06392704"/>
    <w:rsid w:val="06CE3719"/>
    <w:rsid w:val="07A86F34"/>
    <w:rsid w:val="097836FC"/>
    <w:rsid w:val="0A5B2EC8"/>
    <w:rsid w:val="0A982760"/>
    <w:rsid w:val="0BCC6435"/>
    <w:rsid w:val="0C563C56"/>
    <w:rsid w:val="0DF6245F"/>
    <w:rsid w:val="0E074BA5"/>
    <w:rsid w:val="0E4C6813"/>
    <w:rsid w:val="0F560EDC"/>
    <w:rsid w:val="0FDF4B3B"/>
    <w:rsid w:val="122C3C56"/>
    <w:rsid w:val="1271133C"/>
    <w:rsid w:val="12AA2FA4"/>
    <w:rsid w:val="13366498"/>
    <w:rsid w:val="137567B0"/>
    <w:rsid w:val="13D00759"/>
    <w:rsid w:val="1403552A"/>
    <w:rsid w:val="1434417C"/>
    <w:rsid w:val="155711D7"/>
    <w:rsid w:val="15AB5B9D"/>
    <w:rsid w:val="164F0562"/>
    <w:rsid w:val="168E3AE4"/>
    <w:rsid w:val="169401F6"/>
    <w:rsid w:val="16C56A34"/>
    <w:rsid w:val="17245658"/>
    <w:rsid w:val="180C09BB"/>
    <w:rsid w:val="183D1F30"/>
    <w:rsid w:val="186A4D3A"/>
    <w:rsid w:val="1968366A"/>
    <w:rsid w:val="19CF4B94"/>
    <w:rsid w:val="1A6624E0"/>
    <w:rsid w:val="1A66768F"/>
    <w:rsid w:val="1A907465"/>
    <w:rsid w:val="1AE06A88"/>
    <w:rsid w:val="1B063455"/>
    <w:rsid w:val="1BF73412"/>
    <w:rsid w:val="1C372FC9"/>
    <w:rsid w:val="1C3A01C7"/>
    <w:rsid w:val="1C5E14C8"/>
    <w:rsid w:val="1C832DCD"/>
    <w:rsid w:val="1D3C3EB1"/>
    <w:rsid w:val="1D696313"/>
    <w:rsid w:val="1F912534"/>
    <w:rsid w:val="21385579"/>
    <w:rsid w:val="21530707"/>
    <w:rsid w:val="21553D63"/>
    <w:rsid w:val="21DD0673"/>
    <w:rsid w:val="21FA0D06"/>
    <w:rsid w:val="22757F26"/>
    <w:rsid w:val="22830CE0"/>
    <w:rsid w:val="229E12ED"/>
    <w:rsid w:val="22FD4CD0"/>
    <w:rsid w:val="24483EEA"/>
    <w:rsid w:val="24564B21"/>
    <w:rsid w:val="24776827"/>
    <w:rsid w:val="24863EAC"/>
    <w:rsid w:val="251D5620"/>
    <w:rsid w:val="252F7307"/>
    <w:rsid w:val="2584779F"/>
    <w:rsid w:val="26CF522C"/>
    <w:rsid w:val="270213DF"/>
    <w:rsid w:val="284C1DAE"/>
    <w:rsid w:val="29856E88"/>
    <w:rsid w:val="2A07062E"/>
    <w:rsid w:val="2A0F723E"/>
    <w:rsid w:val="2BE14F27"/>
    <w:rsid w:val="2C6571D5"/>
    <w:rsid w:val="2EF72FB6"/>
    <w:rsid w:val="30A20D4B"/>
    <w:rsid w:val="31551968"/>
    <w:rsid w:val="322C717A"/>
    <w:rsid w:val="323245C0"/>
    <w:rsid w:val="32862F27"/>
    <w:rsid w:val="3289592A"/>
    <w:rsid w:val="32D13302"/>
    <w:rsid w:val="334F3F32"/>
    <w:rsid w:val="341A0514"/>
    <w:rsid w:val="348860F5"/>
    <w:rsid w:val="35B310BA"/>
    <w:rsid w:val="35C67DDB"/>
    <w:rsid w:val="36C750CB"/>
    <w:rsid w:val="38644AF5"/>
    <w:rsid w:val="39B358D9"/>
    <w:rsid w:val="39B72E53"/>
    <w:rsid w:val="3A4C2D68"/>
    <w:rsid w:val="3A5B589D"/>
    <w:rsid w:val="3DC519B3"/>
    <w:rsid w:val="3E0E074E"/>
    <w:rsid w:val="3E3F0568"/>
    <w:rsid w:val="3F922DB5"/>
    <w:rsid w:val="41833C4B"/>
    <w:rsid w:val="42DD32E2"/>
    <w:rsid w:val="446E0E4C"/>
    <w:rsid w:val="45035073"/>
    <w:rsid w:val="45E00FCE"/>
    <w:rsid w:val="45E97E9B"/>
    <w:rsid w:val="462C0DBC"/>
    <w:rsid w:val="46304184"/>
    <w:rsid w:val="464E5A25"/>
    <w:rsid w:val="47190383"/>
    <w:rsid w:val="483C4148"/>
    <w:rsid w:val="484401F7"/>
    <w:rsid w:val="48526BCA"/>
    <w:rsid w:val="48A75E4F"/>
    <w:rsid w:val="49207C40"/>
    <w:rsid w:val="493D649A"/>
    <w:rsid w:val="49AA114C"/>
    <w:rsid w:val="4A3514D2"/>
    <w:rsid w:val="4A4C1CA2"/>
    <w:rsid w:val="4AB41B96"/>
    <w:rsid w:val="4DDB4479"/>
    <w:rsid w:val="4E441FB7"/>
    <w:rsid w:val="50911FEF"/>
    <w:rsid w:val="511B4E33"/>
    <w:rsid w:val="51700A44"/>
    <w:rsid w:val="53954749"/>
    <w:rsid w:val="558E33C2"/>
    <w:rsid w:val="55DF3355"/>
    <w:rsid w:val="561265A0"/>
    <w:rsid w:val="56195306"/>
    <w:rsid w:val="56C371CF"/>
    <w:rsid w:val="56E60CAF"/>
    <w:rsid w:val="58236900"/>
    <w:rsid w:val="58DE39DF"/>
    <w:rsid w:val="58E90E58"/>
    <w:rsid w:val="593042D3"/>
    <w:rsid w:val="5ADC1D75"/>
    <w:rsid w:val="5BBD737B"/>
    <w:rsid w:val="5D3C47CE"/>
    <w:rsid w:val="5D3E15E7"/>
    <w:rsid w:val="5D776671"/>
    <w:rsid w:val="5DB9612A"/>
    <w:rsid w:val="5F1A6580"/>
    <w:rsid w:val="5F3927D8"/>
    <w:rsid w:val="5F783ED8"/>
    <w:rsid w:val="62544D16"/>
    <w:rsid w:val="626A4699"/>
    <w:rsid w:val="634D3C60"/>
    <w:rsid w:val="635E1ACE"/>
    <w:rsid w:val="64C1777D"/>
    <w:rsid w:val="66523C86"/>
    <w:rsid w:val="673D002D"/>
    <w:rsid w:val="67416991"/>
    <w:rsid w:val="68756899"/>
    <w:rsid w:val="689C36AE"/>
    <w:rsid w:val="6A1E1B89"/>
    <w:rsid w:val="6AA60F22"/>
    <w:rsid w:val="6C27361B"/>
    <w:rsid w:val="6EC05953"/>
    <w:rsid w:val="6EDF5210"/>
    <w:rsid w:val="705F31E2"/>
    <w:rsid w:val="710E7F9B"/>
    <w:rsid w:val="714A05C5"/>
    <w:rsid w:val="727E3E5C"/>
    <w:rsid w:val="73EF7416"/>
    <w:rsid w:val="742B7ED6"/>
    <w:rsid w:val="746D4016"/>
    <w:rsid w:val="7564290E"/>
    <w:rsid w:val="75921EC9"/>
    <w:rsid w:val="761E4830"/>
    <w:rsid w:val="76BA41BA"/>
    <w:rsid w:val="791A3D56"/>
    <w:rsid w:val="793E156B"/>
    <w:rsid w:val="7960633A"/>
    <w:rsid w:val="79DA2722"/>
    <w:rsid w:val="7A4B398E"/>
    <w:rsid w:val="7CAE13DE"/>
    <w:rsid w:val="7D880EED"/>
    <w:rsid w:val="7E5A6CF2"/>
    <w:rsid w:val="7F2A5CD7"/>
    <w:rsid w:val="7F3A0D10"/>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uiPriority w:val="0"/>
    <w:pPr>
      <w:jc w:val="left"/>
    </w:pPr>
  </w:style>
  <w:style w:type="paragraph" w:styleId="4">
    <w:name w:val="Balloon Text"/>
    <w:basedOn w:val="1"/>
    <w:link w:val="15"/>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7"/>
    <w:semiHidden/>
    <w:unhideWhenUsed/>
    <w:uiPriority w:val="0"/>
    <w:rPr>
      <w:b/>
      <w:bCs/>
    </w:rPr>
  </w:style>
  <w:style w:type="character" w:styleId="11">
    <w:name w:val="Emphasis"/>
    <w:basedOn w:val="10"/>
    <w:qFormat/>
    <w:uiPriority w:val="0"/>
    <w:rPr>
      <w:i/>
    </w:rPr>
  </w:style>
  <w:style w:type="character" w:styleId="12">
    <w:name w:val="annotation reference"/>
    <w:basedOn w:val="10"/>
    <w:semiHidden/>
    <w:unhideWhenUsed/>
    <w:uiPriority w:val="0"/>
    <w:rPr>
      <w:sz w:val="21"/>
      <w:szCs w:val="21"/>
    </w:rPr>
  </w:style>
  <w:style w:type="character" w:customStyle="1" w:styleId="13">
    <w:name w:val="页眉 Char"/>
    <w:basedOn w:val="10"/>
    <w:link w:val="6"/>
    <w:uiPriority w:val="0"/>
    <w:rPr>
      <w:rFonts w:eastAsia="仿宋_GB2312"/>
      <w:kern w:val="2"/>
      <w:sz w:val="18"/>
      <w:szCs w:val="18"/>
    </w:rPr>
  </w:style>
  <w:style w:type="character" w:customStyle="1" w:styleId="14">
    <w:name w:val="页脚 Char"/>
    <w:basedOn w:val="10"/>
    <w:link w:val="5"/>
    <w:qFormat/>
    <w:uiPriority w:val="0"/>
    <w:rPr>
      <w:rFonts w:eastAsia="仿宋_GB2312"/>
      <w:kern w:val="2"/>
      <w:sz w:val="18"/>
      <w:szCs w:val="18"/>
    </w:rPr>
  </w:style>
  <w:style w:type="character" w:customStyle="1" w:styleId="15">
    <w:name w:val="批注框文本 Char"/>
    <w:basedOn w:val="10"/>
    <w:link w:val="4"/>
    <w:qFormat/>
    <w:uiPriority w:val="0"/>
    <w:rPr>
      <w:rFonts w:eastAsia="仿宋_GB2312"/>
      <w:kern w:val="2"/>
      <w:sz w:val="18"/>
      <w:szCs w:val="18"/>
    </w:rPr>
  </w:style>
  <w:style w:type="character" w:customStyle="1" w:styleId="16">
    <w:name w:val="批注文字 Char"/>
    <w:basedOn w:val="10"/>
    <w:link w:val="3"/>
    <w:semiHidden/>
    <w:uiPriority w:val="0"/>
    <w:rPr>
      <w:rFonts w:eastAsia="仿宋_GB2312"/>
      <w:kern w:val="2"/>
      <w:sz w:val="32"/>
      <w:szCs w:val="24"/>
    </w:rPr>
  </w:style>
  <w:style w:type="character" w:customStyle="1" w:styleId="17">
    <w:name w:val="批注主题 Char"/>
    <w:basedOn w:val="16"/>
    <w:link w:val="8"/>
    <w:semiHidden/>
    <w:uiPriority w:val="0"/>
    <w:rPr>
      <w:rFonts w:eastAsia="仿宋_GB2312"/>
      <w:b/>
      <w:bCs/>
      <w:kern w:val="2"/>
      <w:sz w:val="32"/>
      <w:szCs w:val="24"/>
    </w:rPr>
  </w:style>
  <w:style w:type="character" w:customStyle="1" w:styleId="18">
    <w:name w:val="标题 1 Char"/>
    <w:basedOn w:val="10"/>
    <w:link w:val="2"/>
    <w:uiPriority w:val="0"/>
    <w:rPr>
      <w:rFonts w:eastAsia="仿宋_GB2312"/>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311</Words>
  <Characters>1775</Characters>
  <Lines>14</Lines>
  <Paragraphs>4</Paragraphs>
  <TotalTime>592</TotalTime>
  <ScaleCrop>false</ScaleCrop>
  <LinksUpToDate>false</LinksUpToDate>
  <CharactersWithSpaces>2082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2020-09-02T03:45:00Z</dcterms:created>
  <dc:creator>陶晓鹏</dc:creator>
  <cp:lastModifiedBy>翀</cp:lastModifiedBy>
  <cp:lastPrinted>2020-09-15T03:10:00Z</cp:lastPrinted>
  <dcterms:modified xsi:type="dcterms:W3CDTF">2020-09-18T04:53:01Z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