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宋体" w:hAnsi="宋体"/>
          <w:sz w:val="32"/>
          <w:szCs w:val="32"/>
        </w:rPr>
      </w:pPr>
      <w:r>
        <w:rPr>
          <w:rFonts w:hint="eastAsia" w:ascii="宋体" w:hAnsi="宋体"/>
          <w:sz w:val="32"/>
          <w:szCs w:val="32"/>
        </w:rPr>
        <w:t>附件4</w:t>
      </w:r>
    </w:p>
    <w:p>
      <w:pPr>
        <w:spacing w:line="600" w:lineRule="exact"/>
        <w:jc w:val="center"/>
        <w:rPr>
          <w:rFonts w:ascii="方正小标宋简体" w:eastAsia="方正小标宋简体"/>
          <w:sz w:val="44"/>
          <w:szCs w:val="44"/>
        </w:rPr>
      </w:pPr>
      <w:r>
        <w:rPr>
          <w:rFonts w:hint="eastAsia" w:ascii="方正小标宋简体" w:eastAsia="方正小标宋简体"/>
          <w:sz w:val="44"/>
          <w:szCs w:val="44"/>
        </w:rPr>
        <w:t>关于部分检验项目的说明</w:t>
      </w:r>
    </w:p>
    <w:p>
      <w:pPr>
        <w:spacing w:line="600" w:lineRule="exact"/>
        <w:ind w:firstLine="643" w:firstLineChars="200"/>
        <w:rPr>
          <w:rFonts w:ascii="仿宋_GB2312" w:hAnsi="Times New Roman" w:eastAsia="仿宋_GB2312"/>
          <w:b/>
          <w:sz w:val="32"/>
          <w:szCs w:val="32"/>
        </w:rPr>
      </w:pPr>
    </w:p>
    <w:p>
      <w:pPr>
        <w:spacing w:line="560" w:lineRule="exact"/>
        <w:ind w:firstLine="640" w:firstLineChars="200"/>
        <w:jc w:val="left"/>
        <w:rPr>
          <w:rFonts w:hint="eastAsia" w:ascii="仿宋_GB2312" w:hAnsi="宋体" w:eastAsia="仿宋_GB2312"/>
          <w:sz w:val="32"/>
          <w:szCs w:val="32"/>
        </w:rPr>
      </w:pPr>
      <w:r>
        <w:rPr>
          <w:rFonts w:hint="eastAsia" w:ascii="仿宋" w:hAnsi="仿宋" w:eastAsia="仿宋" w:cs="仿宋"/>
          <w:sz w:val="32"/>
          <w:szCs w:val="32"/>
          <w:lang w:val="en-US" w:eastAsia="zh-CN" w:bidi="zh-CN"/>
        </w:rPr>
        <w:t>一、</w:t>
      </w:r>
      <w:r>
        <w:rPr>
          <w:rFonts w:hint="eastAsia" w:ascii="仿宋_GB2312" w:hAnsi="宋体" w:eastAsia="仿宋_GB2312"/>
          <w:sz w:val="32"/>
          <w:szCs w:val="32"/>
        </w:rPr>
        <w:t>4-氯苯氧乙酸钠</w:t>
      </w:r>
    </w:p>
    <w:p>
      <w:pPr>
        <w:numPr>
          <w:ilvl w:val="0"/>
          <w:numId w:val="1"/>
        </w:numPr>
        <w:spacing w:line="560" w:lineRule="exact"/>
        <w:ind w:firstLine="640" w:firstLineChars="200"/>
        <w:jc w:val="left"/>
        <w:rPr>
          <w:rFonts w:hint="eastAsia" w:ascii="仿宋_GB2312" w:hAnsi="宋体" w:eastAsia="仿宋_GB2312"/>
          <w:sz w:val="32"/>
          <w:szCs w:val="32"/>
        </w:rPr>
      </w:pPr>
      <w:r>
        <w:rPr>
          <w:rFonts w:hint="eastAsia" w:ascii="仿宋" w:hAnsi="仿宋" w:eastAsia="仿宋" w:cs="仿宋"/>
          <w:sz w:val="32"/>
          <w:szCs w:val="32"/>
          <w:lang w:val="zh-CN" w:eastAsia="zh-CN" w:bidi="zh-CN"/>
        </w:rPr>
        <w:t>氯苯氧乙酸钠，是一种植物生长调节剂。主要用于防止落花落果、抑制豆类生根等，并能调节植物株内激素的平衡。豆芽中检出4-氯苯氧乙酸钠可能是由于豆芽生产商在生产过程中为了抑制豆芽生根，提高豆芽产量而违规使用。原国家食品药品监督管理总局、农业部、国家卫生和计划生育委员会关于豆芽生产过程中禁止使用 6-苄基腺嘌呤等物质的公告年第 11 号）规定豆芽生产经营过程中禁止使用 4-氯苯氧乙酸钠。</w:t>
      </w:r>
    </w:p>
    <w:p>
      <w:pPr>
        <w:spacing w:line="560" w:lineRule="exact"/>
        <w:ind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二、6-苄基腺嘌呤(6-BA)</w:t>
      </w:r>
    </w:p>
    <w:p>
      <w:pPr>
        <w:spacing w:line="560" w:lineRule="exact"/>
        <w:ind w:firstLine="640" w:firstLineChars="200"/>
        <w:jc w:val="left"/>
        <w:rPr>
          <w:rFonts w:hint="eastAsia" w:ascii="仿宋_GB2312" w:hAnsi="宋体" w:eastAsia="仿宋_GB2312"/>
          <w:sz w:val="32"/>
          <w:szCs w:val="32"/>
          <w:lang w:val="en-US" w:eastAsia="zh-CN"/>
        </w:rPr>
      </w:pPr>
      <w:r>
        <w:rPr>
          <w:rFonts w:hint="eastAsia" w:ascii="仿宋" w:hAnsi="仿宋" w:eastAsia="仿宋" w:cs="仿宋"/>
          <w:sz w:val="32"/>
          <w:szCs w:val="32"/>
          <w:lang w:val="zh-CN" w:eastAsia="zh-CN" w:bidi="zh-CN"/>
        </w:rPr>
        <w:t>6-苄基腺嘌呤是一种广泛使用的添加于植物生长培养基的细胞分裂素，具有抑制植物叶内叶绿素、核酸、蛋白质的分解，保绿防老;将氨基酸、生长素、无机盐等向处理部位调运等多种效能，广泛用在农业、果树和园艺作物从发芽到收获的各个阶段。国家食品药品监督管理总局 农业部 国家卫生和计划生育委员会发布关于豆芽生产过程中禁止使用6-苄基腺嘌呤等物质的公告(2015年第11号)，公告内容:6-苄基腺嘌呤、4-氯苯氧乙酸钠、赤霉素等物质作为低毒农药登记管理并限定了使用范围，豆芽生产不在可使用范围之列，且目前豆芽生产过程中使用上述物质的安全性尚无结论。为确保豆芽食用安全，生产者及豆芽经营不得生产/经营含6-苄基腺嘌呤、4-氯苯氧乙酸钠、赤霉素等物质，豆芽经营者不得经营含有6-苄基腺嘌呤、4-氯苯氧乙酸钠、赤霉素等物质的豆芽。</w:t>
      </w:r>
    </w:p>
    <w:p>
      <w:pPr>
        <w:numPr>
          <w:ilvl w:val="0"/>
          <w:numId w:val="2"/>
        </w:numPr>
        <w:spacing w:line="560" w:lineRule="exact"/>
        <w:ind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吡虫啉</w:t>
      </w:r>
    </w:p>
    <w:p>
      <w:pPr>
        <w:spacing w:line="560" w:lineRule="exact"/>
        <w:ind w:firstLine="640" w:firstLineChars="200"/>
        <w:jc w:val="left"/>
        <w:rPr>
          <w:rFonts w:hint="eastAsia" w:ascii="仿宋_GB2312" w:hAnsi="宋体" w:eastAsia="仿宋_GB2312"/>
          <w:sz w:val="32"/>
          <w:szCs w:val="32"/>
          <w:lang w:val="en-US" w:eastAsia="zh-CN"/>
        </w:rPr>
      </w:pPr>
      <w:r>
        <w:rPr>
          <w:rFonts w:hint="eastAsia" w:ascii="仿宋" w:hAnsi="仿宋" w:eastAsia="仿宋" w:cs="仿宋"/>
          <w:sz w:val="32"/>
          <w:szCs w:val="32"/>
          <w:highlight w:val="none"/>
          <w:lang w:val="en-US" w:eastAsia="zh-CN" w:bidi="zh-CN"/>
        </w:rPr>
        <w:t>吡虫啉是烟碱类超高效杀虫剂，具有广谱、高效、低毒、低残留，害虫不易产生抗性，并有触杀、胃毒和内吸等多重作用。害虫接触药剂后，中枢神经正常传导受阻，使其麻痹死亡。产品速效性好，药后1天即有较高的防效，残留期长达25天左右。药效和温度呈正相关，温度高，杀虫效果好。主要用于防治刺吸式口器害虫。吡虫啉超标的可能原因是： 1.种植户为了追求良好的杀虫效果，超剂量使用吡虫啉。 2.种植户没有按规定的休药期进行采摘，从而导致吡虫啉残留量超标。 3.种植土壤、水源中的吡虫啉残留超标。</w:t>
      </w:r>
    </w:p>
    <w:p>
      <w:pPr>
        <w:numPr>
          <w:ilvl w:val="0"/>
          <w:numId w:val="2"/>
        </w:numPr>
        <w:spacing w:line="560" w:lineRule="exact"/>
        <w:ind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恩诺沙星(以恩诺沙星与环丙沙星之和计)</w:t>
      </w:r>
    </w:p>
    <w:p>
      <w:pPr>
        <w:spacing w:line="560" w:lineRule="exact"/>
        <w:ind w:firstLine="640" w:firstLineChars="200"/>
        <w:jc w:val="left"/>
        <w:rPr>
          <w:rFonts w:hint="eastAsia" w:ascii="仿宋_GB2312" w:hAnsi="宋体" w:eastAsia="仿宋_GB2312"/>
          <w:sz w:val="32"/>
          <w:szCs w:val="32"/>
          <w:lang w:val="en-US" w:eastAsia="zh-CN"/>
        </w:rPr>
      </w:pPr>
      <w:r>
        <w:rPr>
          <w:rFonts w:hint="eastAsia" w:ascii="仿宋" w:hAnsi="仿宋" w:eastAsia="仿宋" w:cs="仿宋"/>
          <w:sz w:val="32"/>
          <w:szCs w:val="32"/>
          <w:lang w:val="zh-CN" w:eastAsia="zh-CN" w:bidi="zh-CN"/>
        </w:rPr>
        <w:t>恩诺沙星，又名恩氟奎林羧酸，属于氟喹诺酮类药物，化学合成广谱抑菌剂，在预防和治疗畜禽的细菌性感染及支原体病方面有良好效果。农业部公告第 235 号《动物性食品中兽药最高残留限量》规定该类药物在鱼类肌肉中的最大残留限量为 100μg/kg（以恩诺沙星+环丙沙星之和计）。</w:t>
      </w:r>
    </w:p>
    <w:p>
      <w:pPr>
        <w:numPr>
          <w:ilvl w:val="0"/>
          <w:numId w:val="2"/>
        </w:numPr>
        <w:spacing w:line="560" w:lineRule="exact"/>
        <w:ind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孔雀石绿</w:t>
      </w:r>
    </w:p>
    <w:p>
      <w:pPr>
        <w:spacing w:line="560" w:lineRule="exact"/>
        <w:ind w:firstLine="640" w:firstLineChars="200"/>
        <w:jc w:val="left"/>
        <w:rPr>
          <w:rFonts w:hint="eastAsia" w:ascii="仿宋_GB2312" w:hAnsi="宋体" w:eastAsia="仿宋_GB2312"/>
          <w:sz w:val="32"/>
          <w:szCs w:val="32"/>
          <w:lang w:val="en-US" w:eastAsia="zh-CN"/>
        </w:rPr>
      </w:pPr>
      <w:r>
        <w:rPr>
          <w:rFonts w:hint="eastAsia" w:ascii="仿宋" w:hAnsi="仿宋" w:eastAsia="仿宋" w:cs="仿宋"/>
          <w:sz w:val="32"/>
          <w:szCs w:val="32"/>
          <w:highlight w:val="none"/>
          <w:lang w:val="zh-CN" w:eastAsia="zh-CN" w:bidi="zh-CN"/>
        </w:rPr>
        <w:t>孔雀石绿是一种带有金属光泽的绿色结晶体，又名碱性绿、严基块绿、孔雀绿，它既是杀真菌剂，又是染料，易溶于水，溶液呈蓝绿色，广泛用于真丝、羊毛、皮革、麻制品、陶瓷制品、棉布等的染色。孔雀石绿很早曾经作为杀菌剂、杀虫剂、消毒剂用于水产养殖业。长期以来，渔民都用它来预防鱼的水霉病、鳃霉病、小瓜虫病等，而且为了使鳞受损的鱼延长生命，在运输过程中和存放池内，也常使用孔雀石绿。许多国家都将孔雀石绿列为水产养殖禁用药物（观赏鱼除外），我国也将孔雀石绿列为禁用药物（《中华人民共和国农业部公告第235号》）。</w:t>
      </w:r>
    </w:p>
    <w:p>
      <w:pPr>
        <w:numPr>
          <w:ilvl w:val="0"/>
          <w:numId w:val="2"/>
        </w:numPr>
        <w:spacing w:line="560" w:lineRule="exact"/>
        <w:ind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氟苯尼考</w:t>
      </w:r>
    </w:p>
    <w:p>
      <w:pPr>
        <w:spacing w:line="560" w:lineRule="exact"/>
        <w:ind w:firstLine="640" w:firstLineChars="200"/>
        <w:jc w:val="left"/>
        <w:rPr>
          <w:rFonts w:hint="eastAsia" w:ascii="仿宋" w:hAnsi="仿宋" w:eastAsia="仿宋" w:cs="仿宋"/>
          <w:sz w:val="32"/>
          <w:szCs w:val="32"/>
          <w:highlight w:val="none"/>
          <w:lang w:val="en-US" w:eastAsia="zh-CN" w:bidi="zh-CN"/>
        </w:rPr>
      </w:pPr>
      <w:r>
        <w:rPr>
          <w:rFonts w:hint="eastAsia" w:ascii="仿宋" w:hAnsi="仿宋" w:eastAsia="仿宋" w:cs="仿宋"/>
          <w:sz w:val="32"/>
          <w:szCs w:val="32"/>
          <w:highlight w:val="none"/>
          <w:lang w:val="zh-CN" w:eastAsia="zh-CN" w:bidi="zh-CN"/>
        </w:rPr>
        <w:t>氟苯尼考为广谱抗菌药物，一般为动物专用抗菌药，自研究成功以后立即得到广泛应用。一般由于饲料添加或者家禽疾病治疗导致残留积累在家禽体内。农业部公告第 235 号《动物性食品中兽药最高残留限量》对其作了严格的限定：产蛋鸡禁用。</w:t>
      </w:r>
    </w:p>
    <w:p>
      <w:pPr>
        <w:numPr>
          <w:ilvl w:val="0"/>
          <w:numId w:val="2"/>
        </w:numPr>
        <w:spacing w:line="560" w:lineRule="exact"/>
        <w:ind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镉(以Cd计)</w:t>
      </w:r>
    </w:p>
    <w:p>
      <w:pPr>
        <w:spacing w:line="560" w:lineRule="exact"/>
        <w:ind w:firstLine="640" w:firstLineChars="200"/>
        <w:jc w:val="left"/>
        <w:rPr>
          <w:rFonts w:hint="eastAsia" w:ascii="仿宋" w:hAnsi="仿宋" w:eastAsia="仿宋" w:cs="仿宋"/>
          <w:sz w:val="32"/>
          <w:szCs w:val="32"/>
          <w:highlight w:val="none"/>
          <w:lang w:val="en-US" w:eastAsia="zh-CN" w:bidi="zh-CN"/>
        </w:rPr>
      </w:pPr>
      <w:r>
        <w:rPr>
          <w:rFonts w:hint="eastAsia" w:ascii="仿宋" w:hAnsi="仿宋" w:eastAsia="仿宋" w:cs="仿宋"/>
          <w:sz w:val="32"/>
          <w:szCs w:val="32"/>
          <w:highlight w:val="none"/>
          <w:lang w:val="zh-CN" w:eastAsia="zh-CN" w:bidi="zh-CN"/>
        </w:rPr>
        <w:t>镉均属于重金属污染物，会在水体生物，如鱼类、浮游动物等体内积累富集，并且对它们产生毒性危害风险。本次抽检重金属铅、镉超标的原因可能是因为水体、环境等遭受重金属污染，继而在水产动物体内富集而导致。</w:t>
      </w:r>
    </w:p>
    <w:p>
      <w:pPr>
        <w:numPr>
          <w:ilvl w:val="0"/>
          <w:numId w:val="2"/>
        </w:numPr>
        <w:spacing w:line="560" w:lineRule="exact"/>
        <w:ind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过氧化值（以脂肪计）</w:t>
      </w:r>
    </w:p>
    <w:p>
      <w:pPr>
        <w:spacing w:line="560" w:lineRule="exact"/>
        <w:ind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zh-CN" w:eastAsia="zh-CN"/>
        </w:rPr>
        <w:t>过氧化值主要反映食品中油脂是否氧化变质。随着油脂氧化，过氧化值会逐步升高。过氧化值超标可能是产品用油已经变质，或者产品在储存过程中环境条件控制不当，导致油脂酸败；也可能是原料中的脂肪已经氧化，原料储存不当，未采取有效的抗氧化措施，使得终产品油脂氧化。</w:t>
      </w:r>
    </w:p>
    <w:p>
      <w:pPr>
        <w:numPr>
          <w:ilvl w:val="0"/>
          <w:numId w:val="2"/>
        </w:numPr>
        <w:spacing w:line="560" w:lineRule="exact"/>
        <w:ind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脱氢乙酸及其钠盐（以脱氢乙酸计）</w:t>
      </w:r>
    </w:p>
    <w:p>
      <w:pPr>
        <w:spacing w:line="600" w:lineRule="exact"/>
        <w:ind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zh-CN" w:eastAsia="zh-CN"/>
        </w:rPr>
        <w:t>脱氢乙酸及其钠盐作为一种广谱食品防腐剂，可以防止细菌的生长和繁殖，尤其对霉菌的抑制作用很强，但毒性较低，按标准规定的范围和使用量使用是安全可靠的。抽检不合格的原因可能是企业为防止食品腐败变质而延长食品的保存时间并保持原有食品的风味，而超限量使用，也有可能是对原材料（包括食品添加剂）把关不严，原料带入。</w:t>
      </w:r>
    </w:p>
    <w:p>
      <w:pPr>
        <w:numPr>
          <w:ilvl w:val="0"/>
          <w:numId w:val="2"/>
        </w:numPr>
        <w:spacing w:line="560" w:lineRule="exact"/>
        <w:ind w:firstLine="640" w:firstLineChars="200"/>
        <w:jc w:val="left"/>
        <w:rPr>
          <w:rFonts w:hint="eastAsia" w:ascii="仿宋_GB2312" w:hAnsi="宋体" w:eastAsia="仿宋_GB2312"/>
          <w:sz w:val="32"/>
          <w:szCs w:val="32"/>
          <w:highlight w:val="none"/>
          <w:lang w:val="en-US" w:eastAsia="zh-CN"/>
        </w:rPr>
      </w:pPr>
      <w:r>
        <w:rPr>
          <w:rFonts w:hint="eastAsia" w:ascii="仿宋_GB2312" w:hAnsi="宋体" w:eastAsia="仿宋_GB2312"/>
          <w:sz w:val="32"/>
          <w:szCs w:val="32"/>
          <w:highlight w:val="none"/>
          <w:lang w:val="en-US" w:eastAsia="zh-CN"/>
        </w:rPr>
        <w:t xml:space="preserve">胭脂红 </w:t>
      </w:r>
    </w:p>
    <w:p>
      <w:pPr>
        <w:spacing w:line="560" w:lineRule="exact"/>
        <w:ind w:firstLine="640" w:firstLineChars="200"/>
        <w:jc w:val="left"/>
        <w:rPr>
          <w:rFonts w:hint="eastAsia" w:ascii="仿宋_GB2312" w:hAnsi="宋体" w:eastAsia="仿宋_GB2312"/>
          <w:sz w:val="32"/>
          <w:szCs w:val="32"/>
          <w:highlight w:val="yellow"/>
          <w:lang w:val="en-US" w:eastAsia="zh-CN"/>
        </w:rPr>
      </w:pPr>
      <w:r>
        <w:rPr>
          <w:rFonts w:hint="eastAsia" w:ascii="仿宋" w:hAnsi="仿宋" w:eastAsia="仿宋" w:cs="仿宋"/>
          <w:color w:val="000000"/>
          <w:kern w:val="2"/>
          <w:sz w:val="32"/>
          <w:szCs w:val="32"/>
          <w:highlight w:val="none"/>
          <w:lang w:val="en-US" w:eastAsia="zh-CN" w:bidi="ar-SA"/>
        </w:rPr>
        <w:t>胭脂红是常见合</w:t>
      </w:r>
      <w:r>
        <w:rPr>
          <w:rFonts w:hint="eastAsia" w:ascii="仿宋" w:hAnsi="仿宋" w:eastAsia="仿宋" w:cs="仿宋"/>
          <w:color w:val="000000"/>
          <w:kern w:val="2"/>
          <w:sz w:val="32"/>
          <w:szCs w:val="32"/>
          <w:lang w:val="en-US" w:eastAsia="zh-CN" w:bidi="ar-SA"/>
        </w:rPr>
        <w:t>成着色剂，在现代食品业中应用广泛。相比于天然色素，具有着色力强、成本低等特点。合成着色剂没有营养价值。胭脂红及其铝色淀可用于</w:t>
      </w:r>
      <w:bookmarkStart w:id="0" w:name="_GoBack"/>
      <w:bookmarkEnd w:id="0"/>
      <w:r>
        <w:rPr>
          <w:rFonts w:hint="eastAsia" w:ascii="仿宋" w:hAnsi="仿宋" w:eastAsia="仿宋" w:cs="仿宋"/>
          <w:color w:val="000000"/>
          <w:kern w:val="2"/>
          <w:sz w:val="32"/>
          <w:szCs w:val="32"/>
          <w:lang w:val="en-US" w:eastAsia="zh-CN" w:bidi="ar-SA"/>
        </w:rPr>
        <w:t>肉制品的可食用动物肠衣、胶原蛋白肠衣中，但在腌腊肉制品中不得使用。造成胭脂红不合格原因，可能是在生产过程中，企业为凸显产品色泽，超范围、超限量使用。</w:t>
      </w:r>
    </w:p>
    <w:p>
      <w:pPr>
        <w:numPr>
          <w:ilvl w:val="0"/>
          <w:numId w:val="2"/>
        </w:numPr>
        <w:spacing w:line="560" w:lineRule="exact"/>
        <w:ind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氧氟沙星</w:t>
      </w:r>
    </w:p>
    <w:p>
      <w:pPr>
        <w:spacing w:line="560" w:lineRule="exact"/>
        <w:ind w:firstLine="640" w:firstLineChars="200"/>
        <w:jc w:val="left"/>
        <w:rPr>
          <w:rFonts w:hint="eastAsia" w:ascii="仿宋_GB2312" w:hAnsi="宋体" w:eastAsia="仿宋_GB2312"/>
          <w:sz w:val="32"/>
          <w:szCs w:val="32"/>
          <w:lang w:val="en-US" w:eastAsia="zh-CN"/>
        </w:rPr>
      </w:pPr>
      <w:r>
        <w:rPr>
          <w:rFonts w:hint="eastAsia" w:ascii="仿宋" w:hAnsi="仿宋" w:eastAsia="仿宋" w:cs="仿宋"/>
          <w:sz w:val="32"/>
          <w:szCs w:val="32"/>
          <w:lang w:val="zh-CN" w:eastAsia="zh-CN" w:bidi="zh-CN"/>
        </w:rPr>
        <w:t>氧氟沙星属于喹诺酮类抗生素，具有广谱抗菌作用，抗菌作用强。原农业部公告第2292号中规定，在食品动物中停止使用洛美沙星、培氟沙星、氧氟沙星、诺氟沙星4种兽药（不得检出）。样品中不合格的原因可能是养殖者在养殖或运输途中为减少或防止动物受寄生虫影响导致死亡的现象，违规使用了氧氟沙星作为杀菌剂。</w:t>
      </w:r>
    </w:p>
    <w:p>
      <w:pPr>
        <w:numPr>
          <w:ilvl w:val="0"/>
          <w:numId w:val="2"/>
        </w:numPr>
        <w:spacing w:line="560" w:lineRule="exact"/>
        <w:ind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氧乐果</w:t>
      </w:r>
    </w:p>
    <w:p>
      <w:pPr>
        <w:spacing w:line="560" w:lineRule="exact"/>
        <w:ind w:firstLine="640" w:firstLineChars="200"/>
        <w:jc w:val="left"/>
        <w:rPr>
          <w:rFonts w:hint="default" w:ascii="仿宋" w:hAnsi="仿宋" w:eastAsia="仿宋" w:cs="仿宋"/>
          <w:sz w:val="32"/>
          <w:szCs w:val="32"/>
          <w:lang w:val="en-US" w:eastAsia="zh-CN" w:bidi="zh-CN"/>
        </w:rPr>
      </w:pPr>
      <w:r>
        <w:rPr>
          <w:rFonts w:hint="eastAsia" w:ascii="仿宋" w:hAnsi="仿宋" w:eastAsia="仿宋" w:cs="仿宋"/>
          <w:sz w:val="32"/>
          <w:szCs w:val="32"/>
          <w:lang w:val="zh-CN" w:eastAsia="zh-CN" w:bidi="zh-CN"/>
        </w:rPr>
        <w:t>氧乐果是一种内吸杀虫作用,可以被植株的茎、叶吸进植株体内 ,因此很容易造成农药残留,在蔬菜生产过程中,“氧化乐果”属于违禁使用农药，抽检产品不合格可能是农户为了节省成本目的而违规使用在农产品上导致。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69D473"/>
    <w:multiLevelType w:val="singleLevel"/>
    <w:tmpl w:val="8769D473"/>
    <w:lvl w:ilvl="0" w:tentative="0">
      <w:start w:val="4"/>
      <w:numFmt w:val="decimal"/>
      <w:suff w:val="nothing"/>
      <w:lvlText w:val="%1-"/>
      <w:lvlJc w:val="left"/>
    </w:lvl>
  </w:abstractNum>
  <w:abstractNum w:abstractNumId="1">
    <w:nsid w:val="B8DD7885"/>
    <w:multiLevelType w:val="singleLevel"/>
    <w:tmpl w:val="B8DD7885"/>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4B6EFA"/>
    <w:rsid w:val="004B6EFA"/>
    <w:rsid w:val="00820F31"/>
    <w:rsid w:val="00824259"/>
    <w:rsid w:val="009A15EF"/>
    <w:rsid w:val="00B67A85"/>
    <w:rsid w:val="00D57D1B"/>
    <w:rsid w:val="00F421C8"/>
    <w:rsid w:val="02276CB5"/>
    <w:rsid w:val="03F06EAD"/>
    <w:rsid w:val="07887456"/>
    <w:rsid w:val="090604A3"/>
    <w:rsid w:val="0BFE7616"/>
    <w:rsid w:val="0D2B2324"/>
    <w:rsid w:val="0F6742A4"/>
    <w:rsid w:val="104B7313"/>
    <w:rsid w:val="126500CA"/>
    <w:rsid w:val="145F0D0D"/>
    <w:rsid w:val="15886BAB"/>
    <w:rsid w:val="15C74A14"/>
    <w:rsid w:val="16627B1C"/>
    <w:rsid w:val="17EF416E"/>
    <w:rsid w:val="18451B3F"/>
    <w:rsid w:val="195B4923"/>
    <w:rsid w:val="19FE57A3"/>
    <w:rsid w:val="1ADB47B1"/>
    <w:rsid w:val="1DF10696"/>
    <w:rsid w:val="1EF9231A"/>
    <w:rsid w:val="1EFF100B"/>
    <w:rsid w:val="22550787"/>
    <w:rsid w:val="232D5324"/>
    <w:rsid w:val="25137D68"/>
    <w:rsid w:val="284A5BF2"/>
    <w:rsid w:val="29DF02C5"/>
    <w:rsid w:val="2A5B1793"/>
    <w:rsid w:val="2B461F65"/>
    <w:rsid w:val="2BA664CB"/>
    <w:rsid w:val="2C516F87"/>
    <w:rsid w:val="2D66027E"/>
    <w:rsid w:val="2DA3243F"/>
    <w:rsid w:val="2DB5267C"/>
    <w:rsid w:val="2DF72A32"/>
    <w:rsid w:val="2FD10C3E"/>
    <w:rsid w:val="31C6061F"/>
    <w:rsid w:val="32DD00BD"/>
    <w:rsid w:val="379573AA"/>
    <w:rsid w:val="386B654E"/>
    <w:rsid w:val="391352A9"/>
    <w:rsid w:val="3ADD2861"/>
    <w:rsid w:val="3AFA4815"/>
    <w:rsid w:val="3C915649"/>
    <w:rsid w:val="3D297853"/>
    <w:rsid w:val="3EE1250D"/>
    <w:rsid w:val="428D21EB"/>
    <w:rsid w:val="4452544F"/>
    <w:rsid w:val="46B032DF"/>
    <w:rsid w:val="47AD1201"/>
    <w:rsid w:val="48BD5A68"/>
    <w:rsid w:val="48C00B24"/>
    <w:rsid w:val="4B4B286C"/>
    <w:rsid w:val="4B911789"/>
    <w:rsid w:val="4D94490D"/>
    <w:rsid w:val="4DAD2FA1"/>
    <w:rsid w:val="4E9C06D0"/>
    <w:rsid w:val="520E4E41"/>
    <w:rsid w:val="58D27289"/>
    <w:rsid w:val="58EF2A7D"/>
    <w:rsid w:val="5C77642F"/>
    <w:rsid w:val="5CED668D"/>
    <w:rsid w:val="5F1D6839"/>
    <w:rsid w:val="60CF2535"/>
    <w:rsid w:val="68932D56"/>
    <w:rsid w:val="697C6D68"/>
    <w:rsid w:val="6B4C4B7D"/>
    <w:rsid w:val="6EF66C78"/>
    <w:rsid w:val="6FF2151A"/>
    <w:rsid w:val="718129F5"/>
    <w:rsid w:val="71894BD7"/>
    <w:rsid w:val="726258D5"/>
    <w:rsid w:val="73B232F5"/>
    <w:rsid w:val="74EF7DD6"/>
    <w:rsid w:val="757B108B"/>
    <w:rsid w:val="757B7956"/>
    <w:rsid w:val="77B41AFA"/>
    <w:rsid w:val="77DD7782"/>
    <w:rsid w:val="79871452"/>
    <w:rsid w:val="7B6A0503"/>
    <w:rsid w:val="7B802328"/>
    <w:rsid w:val="7BCD75A4"/>
    <w:rsid w:val="7D212BFB"/>
    <w:rsid w:val="7E3539E2"/>
    <w:rsid w:val="7F023E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3"/>
    <w:basedOn w:val="1"/>
    <w:next w:val="1"/>
    <w:link w:val="10"/>
    <w:qFormat/>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qFormat/>
    <w:uiPriority w:val="99"/>
    <w:rPr>
      <w:sz w:val="18"/>
      <w:szCs w:val="18"/>
    </w:rPr>
  </w:style>
  <w:style w:type="character" w:customStyle="1" w:styleId="10">
    <w:name w:val="标题 3 Char"/>
    <w:basedOn w:val="7"/>
    <w:link w:val="2"/>
    <w:qFormat/>
    <w:uiPriority w:val="9"/>
    <w:rPr>
      <w:rFonts w:ascii="宋体" w:hAnsi="宋体" w:eastAsia="宋体" w:cs="宋体"/>
      <w:b/>
      <w:bCs/>
      <w:kern w:val="0"/>
      <w:sz w:val="27"/>
      <w:szCs w:val="27"/>
    </w:rPr>
  </w:style>
  <w:style w:type="paragraph" w:customStyle="1" w:styleId="11">
    <w:name w:val="_Style 1"/>
    <w:basedOn w:val="1"/>
    <w:qFormat/>
    <w:uiPriority w:val="34"/>
    <w:pPr>
      <w:ind w:firstLine="420" w:firstLineChars="200"/>
    </w:pPr>
  </w:style>
  <w:style w:type="paragraph" w:customStyle="1" w:styleId="12">
    <w:name w:val="Default"/>
    <w:qFormat/>
    <w:uiPriority w:val="0"/>
    <w:pPr>
      <w:widowControl w:val="0"/>
      <w:autoSpaceDE w:val="0"/>
      <w:autoSpaceDN w:val="0"/>
      <w:adjustRightInd w:val="0"/>
    </w:pPr>
    <w:rPr>
      <w:rFonts w:ascii="宋体" w:cs="宋体" w:hAnsiTheme="minorHAnsi" w:eastAsiaTheme="minorEastAsia"/>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Company>
  <Pages>1</Pages>
  <Words>25</Words>
  <Characters>147</Characters>
  <Lines>1</Lines>
  <Paragraphs>1</Paragraphs>
  <TotalTime>0</TotalTime>
  <ScaleCrop>false</ScaleCrop>
  <LinksUpToDate>false</LinksUpToDate>
  <CharactersWithSpaces>171</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2019-04-08T02:10:00Z</dcterms:created>
  <dc:creator>黎佩珊</dc:creator>
  <cp:lastModifiedBy>沁</cp:lastModifiedBy>
  <dcterms:modified xsi:type="dcterms:W3CDTF">2020-10-29T03:39:47Z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