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方正小标宋简体" w:cs="方正小标宋简体"/>
          <w:sz w:val="44"/>
          <w:szCs w:val="44"/>
          <w:highlight w:val="none"/>
          <w:lang w:val="en-US" w:eastAsia="zh-CN"/>
        </w:rPr>
      </w:pPr>
      <w:bookmarkStart w:id="2" w:name="_GoBack"/>
      <w:bookmarkEnd w:id="2"/>
      <w:r>
        <w:rPr>
          <w:rFonts w:hint="eastAsia" w:eastAsia="方正小标宋简体" w:cs="方正小标宋简体"/>
          <w:sz w:val="44"/>
          <w:szCs w:val="44"/>
          <w:highlight w:val="none"/>
          <w:lang w:val="en-US" w:eastAsia="zh-CN"/>
        </w:rPr>
        <w:t>东莞市</w:t>
      </w:r>
      <w:r>
        <w:rPr>
          <w:rFonts w:hint="eastAsia" w:ascii="Times New Roman" w:hAnsi="Times New Roman" w:eastAsia="方正小标宋简体" w:cs="方正小标宋简体"/>
          <w:sz w:val="44"/>
          <w:szCs w:val="44"/>
          <w:highlight w:val="none"/>
          <w:lang w:val="en-US" w:eastAsia="zh-CN"/>
        </w:rPr>
        <w:t>玩具产品质量监督抽查实施细则</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楷体_GB2312" w:cs="楷体_GB2312"/>
          <w:sz w:val="32"/>
          <w:szCs w:val="40"/>
          <w:highlight w:val="none"/>
        </w:rPr>
      </w:pPr>
      <w:r>
        <w:rPr>
          <w:rFonts w:hint="eastAsia" w:ascii="Times New Roman" w:hAnsi="Times New Roman" w:eastAsia="楷体_GB2312" w:cs="楷体_GB2312"/>
          <w:sz w:val="32"/>
          <w:szCs w:val="40"/>
          <w:highlight w:val="none"/>
        </w:rPr>
        <w:t>（2025年版）</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Times New Roman" w:hAnsi="Times New Roman" w:eastAsia="仿宋_GB2312" w:cs="仿宋_GB2312"/>
          <w:sz w:val="32"/>
          <w:szCs w:val="40"/>
          <w:highlight w:val="none"/>
        </w:rPr>
      </w:pP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黑体" w:cs="黑体"/>
          <w:sz w:val="32"/>
          <w:szCs w:val="40"/>
          <w:highlight w:val="none"/>
        </w:rPr>
      </w:pPr>
      <w:r>
        <w:rPr>
          <w:rFonts w:hint="eastAsia" w:ascii="Times New Roman" w:hAnsi="Times New Roman" w:eastAsia="黑体" w:cs="黑体"/>
          <w:sz w:val="32"/>
          <w:szCs w:val="40"/>
          <w:highlight w:val="none"/>
        </w:rPr>
        <w:t>1 抽样方法</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随机数一般可使用随机数表等方法产生。</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每批次抽样数量3个，其中2个作为检验样品</w:t>
      </w:r>
      <w:r>
        <w:rPr>
          <w:rFonts w:hint="eastAsia" w:ascii="Times New Roman" w:hAnsi="Times New Roman" w:eastAsia="仿宋_GB2312" w:cs="仿宋_GB2312"/>
          <w:sz w:val="32"/>
          <w:szCs w:val="40"/>
          <w:highlight w:val="none"/>
          <w:lang w:val="en-US" w:eastAsia="zh-CN"/>
        </w:rPr>
        <w:t>、</w:t>
      </w:r>
      <w:r>
        <w:rPr>
          <w:rFonts w:hint="eastAsia" w:ascii="Times New Roman" w:hAnsi="Times New Roman" w:eastAsia="仿宋_GB2312" w:cs="仿宋_GB2312"/>
          <w:sz w:val="32"/>
          <w:szCs w:val="40"/>
          <w:highlight w:val="none"/>
        </w:rPr>
        <w:t>1个作为备用样品。</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黑体" w:cs="黑体"/>
          <w:sz w:val="32"/>
          <w:szCs w:val="40"/>
          <w:highlight w:val="none"/>
        </w:rPr>
      </w:pPr>
      <w:r>
        <w:rPr>
          <w:rFonts w:hint="eastAsia" w:ascii="Times New Roman" w:hAnsi="Times New Roman" w:eastAsia="黑体" w:cs="黑体"/>
          <w:sz w:val="32"/>
          <w:szCs w:val="40"/>
          <w:highlight w:val="none"/>
        </w:rPr>
        <w:t>2 检验依据</w:t>
      </w:r>
    </w:p>
    <w:p>
      <w:pPr>
        <w:keepNext w:val="0"/>
        <w:keepLines w:val="0"/>
        <w:pageBreakBefore w:val="0"/>
        <w:kinsoku/>
        <w:wordWrap/>
        <w:overflowPunct/>
        <w:topLinePunct w:val="0"/>
        <w:autoSpaceDN/>
        <w:bidi w:val="0"/>
        <w:adjustRightInd/>
        <w:snapToGrid w:val="0"/>
        <w:spacing w:line="560" w:lineRule="exact"/>
        <w:ind w:firstLine="640" w:firstLineChars="200"/>
        <w:textAlignment w:val="auto"/>
        <w:rPr>
          <w:rFonts w:hint="eastAsia" w:ascii="Times New Roman" w:hAnsi="Times New Roman" w:eastAsia="仿宋_GB2312" w:cs="仿宋_GB2312"/>
          <w:sz w:val="32"/>
          <w:szCs w:val="40"/>
          <w:highlight w:val="none"/>
        </w:rPr>
      </w:pPr>
      <w:bookmarkStart w:id="0" w:name="OLE_LINK1"/>
      <w:r>
        <w:rPr>
          <w:rFonts w:hint="eastAsia" w:ascii="仿宋_GB2312" w:hAnsi="仿宋_GB2312" w:eastAsia="仿宋_GB2312" w:cs="仿宋_GB2312"/>
          <w:sz w:val="32"/>
          <w:szCs w:val="32"/>
          <w:highlight w:val="none"/>
          <w:lang w:val="en-US" w:eastAsia="zh-CN"/>
        </w:rPr>
        <w:t xml:space="preserve">2.1 </w:t>
      </w:r>
      <w:bookmarkStart w:id="1" w:name="OLE_LINK3"/>
      <w:r>
        <w:rPr>
          <w:rFonts w:hint="eastAsia" w:ascii="仿宋_GB2312" w:hAnsi="仿宋_GB2312" w:eastAsia="仿宋_GB2312" w:cs="仿宋_GB2312"/>
          <w:sz w:val="32"/>
          <w:szCs w:val="32"/>
          <w:highlight w:val="none"/>
          <w:lang w:val="en-US" w:eastAsia="zh-CN"/>
        </w:rPr>
        <w:t>塑胶玩具</w:t>
      </w:r>
      <w:bookmarkEnd w:id="0"/>
      <w:r>
        <w:rPr>
          <w:rFonts w:hint="eastAsia" w:ascii="仿宋_GB2312" w:hAnsi="仿宋_GB2312" w:eastAsia="仿宋_GB2312" w:cs="仿宋_GB2312"/>
          <w:sz w:val="32"/>
          <w:szCs w:val="32"/>
          <w:highlight w:val="none"/>
          <w:lang w:val="en-US" w:eastAsia="zh-CN"/>
        </w:rPr>
        <w:t>、弹射玩具、毛绒布制玩具、电玩具、儿童地垫、化学及类似实验玩具、泡泡水、充气水上玩具（除儿童泳圈）、磁性玩具、儿童爬行地垫、附赠玩具、金属玩具、木制玩具、泥类玩具、娃娃玩具、造型粘土、纸质玩具</w:t>
      </w:r>
      <w:bookmarkEnd w:id="1"/>
    </w:p>
    <w:tbl>
      <w:tblPr>
        <w:tblStyle w:val="6"/>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3"/>
        <w:gridCol w:w="3417"/>
        <w:gridCol w:w="4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sz w:val="21"/>
                <w:szCs w:val="21"/>
                <w:highlight w:val="none"/>
              </w:rPr>
            </w:pPr>
            <w:r>
              <w:rPr>
                <w:rFonts w:hint="eastAsia" w:ascii="Times New Roman" w:hAnsi="Times New Roman" w:eastAsia="仿宋_GB2312" w:cs="仿宋_GB2312"/>
                <w:b/>
                <w:bCs/>
                <w:sz w:val="21"/>
                <w:szCs w:val="21"/>
                <w:highlight w:val="none"/>
              </w:rPr>
              <w:t>序号</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sz w:val="21"/>
                <w:szCs w:val="21"/>
                <w:highlight w:val="none"/>
              </w:rPr>
            </w:pPr>
            <w:r>
              <w:rPr>
                <w:rFonts w:hint="eastAsia" w:ascii="Times New Roman" w:hAnsi="Times New Roman" w:eastAsia="仿宋_GB2312" w:cs="仿宋_GB2312"/>
                <w:b/>
                <w:bCs/>
                <w:sz w:val="21"/>
                <w:szCs w:val="21"/>
                <w:highlight w:val="none"/>
              </w:rPr>
              <w:t>检验项目</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sz w:val="21"/>
                <w:szCs w:val="21"/>
                <w:highlight w:val="none"/>
              </w:rPr>
            </w:pPr>
            <w:r>
              <w:rPr>
                <w:rFonts w:hint="eastAsia" w:ascii="Times New Roman" w:hAnsi="Times New Roman" w:eastAsia="仿宋_GB2312" w:cs="仿宋_GB2312"/>
                <w:b/>
                <w:bCs/>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一、机械与物理性能（正常使用和可预见的合理滥用）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材料</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2</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小零件</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3</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挤压玩具、摇铃及类似玩具</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4</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小球</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5</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毛球</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6</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学前玩偶</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7</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玩具奶嘴</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8</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气球</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9</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弹珠</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10</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半球形玩具</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11</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可触及的金属或玻璃边缘</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12</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功能性锐利边缘</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13</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金属玩具边缘</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14</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模塑玩具边缘</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15</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外露螺栓或螺纹杆的边缘</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16</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可触及的锐利尖端</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17</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功能性锐利尖端</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18</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木制玩具</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19</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突出物</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20</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把手和其他类似的管子</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21</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金属丝和杆件</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22</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用于包装或玩具中的塑料袋或塑料薄膜</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23</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18个月以下儿童使用的玩具上的绳索和弹性绳</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24</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18个月以下儿童使用的玩具上的自回缩绳</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25</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36个月以下儿童使用的拖拉玩具上的绳索或弹性绳</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26</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玩具袋上的绳索</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27</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童床或游戏围栏上的悬挂玩具</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28</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童床上的健身玩具及类似玩具</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29</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飞行玩具的绳索、细绳或线</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30</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玩具推车、玩具婴儿车及类似玩具</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31</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带有折叠机构的其他玩具</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32</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铰链间隙</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33</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刚性材料上的圆孔</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34</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活动部件间的间隙</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35</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其他驱动机构</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36</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发条钥匙</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37</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弹簧</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38</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封闭式玩具的通风装置</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39</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封闭式玩具的关闭件</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40</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封闭头部的玩具</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41</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仿制防护玩具</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（头盔、帽子、护目镜）</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42</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弹射玩具的一般要求</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43</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蓄能弹射玩具</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44</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非蓄能弹射玩具</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45</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水上玩具</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46</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热源玩具</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47</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液体填充玩具</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48</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口动玩具</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49</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玩具滚轴溜冰鞋、单排滚轴溜冰鞋及玩具滑板</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50</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玩具火药帽</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51</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声响要求</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52</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磁体和磁性部件</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二、易燃性能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一般要求</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2</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头戴玩具</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3</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化妆服饰</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4</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供儿童进入的玩具</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5</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具有毛绒或纺织表面的软体填充</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玩具（动物和娃娃等）</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三、特定元素的迁移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最大限量要求</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6675.4—2014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四、增塑剂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限定增塑剂限量要求</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GB/T 22048—2022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五、电性能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标识和说明</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2</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输入功率</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3</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发热和非正常工作</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4</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工作温度下的电气强度</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5</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耐潮湿</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6</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室温下的电气强度</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7</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机械强度</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8</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结构</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9</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软线和电线的保护</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10</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螺钉和连接</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11</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电气间隙和爬电距离</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12</w:t>
            </w:r>
          </w:p>
        </w:tc>
        <w:tc>
          <w:tcPr>
            <w:tcW w:w="341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耐热和耐燃</w:t>
            </w:r>
          </w:p>
        </w:tc>
        <w:tc>
          <w:tcPr>
            <w:tcW w:w="459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19865—2005（含第1号修改单）</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ascii="Times New Roman" w:hAnsi="Times New Roman" w:eastAsia="仿宋_GB2312" w:cs="仿宋_GB2312"/>
          <w:sz w:val="32"/>
          <w:szCs w:val="40"/>
          <w:highlight w:val="none"/>
        </w:rPr>
      </w:pPr>
      <w:r>
        <w:rPr>
          <w:rFonts w:hint="eastAsia" w:cs="仿宋_GB2312"/>
          <w:sz w:val="32"/>
          <w:szCs w:val="40"/>
          <w:highlight w:val="none"/>
          <w:lang w:val="en-US" w:eastAsia="zh-CN"/>
        </w:rPr>
        <w:t>2.2</w:t>
      </w:r>
      <w:r>
        <w:rPr>
          <w:rFonts w:hint="eastAsia" w:ascii="Times New Roman" w:hAnsi="Times New Roman" w:eastAsia="仿宋_GB2312" w:cs="仿宋_GB2312"/>
          <w:sz w:val="32"/>
          <w:szCs w:val="40"/>
          <w:highlight w:val="none"/>
        </w:rPr>
        <w:t xml:space="preserve"> 乘骑车辆玩具</w:t>
      </w:r>
      <w:r>
        <w:rPr>
          <w:rFonts w:hint="eastAsia" w:ascii="仿宋_GB2312" w:hAnsi="仿宋_GB2312" w:eastAsia="仿宋_GB2312" w:cs="仿宋_GB2312"/>
          <w:b w:val="0"/>
          <w:kern w:val="2"/>
          <w:sz w:val="32"/>
          <w:szCs w:val="32"/>
          <w:highlight w:val="none"/>
          <w:lang w:val="en-US" w:eastAsia="zh-CN" w:bidi="ar-SA"/>
        </w:rPr>
        <w:t>（除电动童车）</w:t>
      </w:r>
    </w:p>
    <w:tbl>
      <w:tblPr>
        <w:tblStyle w:val="6"/>
        <w:tblW w:w="92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07"/>
        <w:gridCol w:w="3621"/>
        <w:gridCol w:w="4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sz w:val="21"/>
                <w:szCs w:val="21"/>
                <w:highlight w:val="none"/>
              </w:rPr>
            </w:pPr>
            <w:r>
              <w:rPr>
                <w:rFonts w:hint="eastAsia" w:ascii="Times New Roman" w:hAnsi="Times New Roman" w:eastAsia="仿宋_GB2312" w:cs="仿宋_GB2312"/>
                <w:b/>
                <w:bCs/>
                <w:sz w:val="21"/>
                <w:szCs w:val="21"/>
                <w:highlight w:val="none"/>
              </w:rPr>
              <w:t>序号</w:t>
            </w:r>
          </w:p>
        </w:tc>
        <w:tc>
          <w:tcPr>
            <w:tcW w:w="3621"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sz w:val="21"/>
                <w:szCs w:val="21"/>
                <w:highlight w:val="none"/>
              </w:rPr>
            </w:pPr>
            <w:r>
              <w:rPr>
                <w:rFonts w:hint="eastAsia" w:ascii="Times New Roman" w:hAnsi="Times New Roman" w:eastAsia="仿宋_GB2312" w:cs="仿宋_GB2312"/>
                <w:b/>
                <w:bCs/>
                <w:sz w:val="21"/>
                <w:szCs w:val="21"/>
                <w:highlight w:val="none"/>
              </w:rPr>
              <w:t>检验项目</w:t>
            </w:r>
          </w:p>
        </w:tc>
        <w:tc>
          <w:tcPr>
            <w:tcW w:w="484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sz w:val="21"/>
                <w:szCs w:val="21"/>
                <w:highlight w:val="none"/>
              </w:rPr>
            </w:pPr>
            <w:r>
              <w:rPr>
                <w:rFonts w:hint="eastAsia" w:ascii="Times New Roman" w:hAnsi="Times New Roman" w:eastAsia="仿宋_GB2312" w:cs="仿宋_GB2312"/>
                <w:b/>
                <w:bCs/>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9270" w:type="dxa"/>
            <w:gridSpan w:val="3"/>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一、机械与物理性能（正常使用和可预见的合理滥用）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1</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材料</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2</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小零件</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3</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小球</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4</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弹珠</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5</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可触及的金属或玻璃边缘</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6</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功能性锐利边缘</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7</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金属玩具边缘</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8</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模塑玩具边缘</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9</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外露螺栓或螺纹杆的边缘</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10</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可触及的锐利尖端</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11</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功能性锐利尖端</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12</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突出物</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13</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把手和其他类似的管子</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14</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金属丝和杆件</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15</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用于包装或玩具中的塑料袋或塑料薄膜</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16</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带有折叠机构的其他玩具</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17</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铰链间隙</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18</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刚性材料上的圆孔</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19</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活动部件间的间隙</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20</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乘骑玩具的传动链或皮带</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21</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弹簧</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22</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可用脚起稳定作用的玩具的侧倾稳定性</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23</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不可用脚起稳定作用的玩具的侧倾稳定性</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40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24</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前后稳定性</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25</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乘骑玩具及座位的超载性能</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26</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制动装置</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27</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电动童车的速度要求</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28</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声响要求</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9270" w:type="dxa"/>
            <w:gridSpan w:val="3"/>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二、易燃性能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1</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一般要求</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9270" w:type="dxa"/>
            <w:gridSpan w:val="3"/>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三、特定元素的迁移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1</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最大限量要求</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9270" w:type="dxa"/>
            <w:gridSpan w:val="3"/>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四、增塑剂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1</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限定增塑剂限量要求</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GB/T 22048—2022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9270" w:type="dxa"/>
            <w:gridSpan w:val="3"/>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五、电性能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1</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标识和说明</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2</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输入功率</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3</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发热和非正常工作</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4</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工作温度下的电气强度</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5</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耐潮湿</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6</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室温下的电气强度</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7</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机械强度</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8</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结构</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9</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软线和电线的保护</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10</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螺钉和连接</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11</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电气间隙和爬电距离</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19865—2005（含第1号修改单）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3" w:hRule="atLeast"/>
          <w:jc w:val="center"/>
        </w:trPr>
        <w:tc>
          <w:tcPr>
            <w:tcW w:w="807" w:type="dxa"/>
            <w:tcBorders>
              <w:top w:val="single" w:color="auto" w:sz="4" w:space="0"/>
              <w:left w:val="single" w:color="auto" w:sz="4" w:space="0"/>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12</w:t>
            </w:r>
          </w:p>
        </w:tc>
        <w:tc>
          <w:tcPr>
            <w:tcW w:w="3621"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耐热和耐燃</w:t>
            </w:r>
          </w:p>
        </w:tc>
        <w:tc>
          <w:tcPr>
            <w:tcW w:w="4842" w:type="dxa"/>
            <w:tcBorders>
              <w:top w:val="single" w:color="auto" w:sz="4" w:space="0"/>
              <w:left w:val="nil"/>
              <w:bottom w:val="single" w:color="auto" w:sz="4" w:space="0"/>
              <w:right w:val="single" w:color="auto" w:sz="4" w:space="0"/>
            </w:tcBorders>
            <w:noWrap w:val="0"/>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19865—2005（含第1号修改单）</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ascii="Times New Roman" w:hAnsi="Times New Roman" w:eastAsia="仿宋_GB2312" w:cs="仿宋_GB2312"/>
          <w:sz w:val="32"/>
          <w:szCs w:val="40"/>
          <w:highlight w:val="none"/>
        </w:rPr>
      </w:pPr>
      <w:r>
        <w:rPr>
          <w:rFonts w:hint="eastAsia" w:cs="仿宋_GB2312"/>
          <w:sz w:val="32"/>
          <w:szCs w:val="40"/>
          <w:highlight w:val="none"/>
          <w:lang w:val="en-US" w:eastAsia="zh-CN"/>
        </w:rPr>
        <w:t>2.3</w:t>
      </w:r>
      <w:r>
        <w:rPr>
          <w:rFonts w:hint="eastAsia" w:ascii="Times New Roman" w:hAnsi="Times New Roman" w:eastAsia="仿宋_GB2312" w:cs="仿宋_GB2312"/>
          <w:sz w:val="32"/>
          <w:szCs w:val="40"/>
          <w:highlight w:val="none"/>
        </w:rPr>
        <w:t xml:space="preserve"> 玩具滑板车</w:t>
      </w:r>
    </w:p>
    <w:tbl>
      <w:tblPr>
        <w:tblStyle w:val="6"/>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3"/>
        <w:gridCol w:w="4296"/>
        <w:gridCol w:w="3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sz w:val="21"/>
                <w:szCs w:val="21"/>
                <w:highlight w:val="none"/>
              </w:rPr>
            </w:pPr>
            <w:r>
              <w:rPr>
                <w:rFonts w:hint="eastAsia" w:ascii="Times New Roman" w:hAnsi="Times New Roman" w:eastAsia="仿宋_GB2312" w:cs="仿宋_GB2312"/>
                <w:b/>
                <w:bCs/>
                <w:sz w:val="21"/>
                <w:szCs w:val="21"/>
                <w:highlight w:val="none"/>
              </w:rPr>
              <w:t>序号</w:t>
            </w:r>
          </w:p>
        </w:tc>
        <w:tc>
          <w:tcPr>
            <w:tcW w:w="42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sz w:val="21"/>
                <w:szCs w:val="21"/>
                <w:highlight w:val="none"/>
              </w:rPr>
            </w:pPr>
            <w:r>
              <w:rPr>
                <w:rFonts w:hint="eastAsia" w:ascii="Times New Roman" w:hAnsi="Times New Roman" w:eastAsia="仿宋_GB2312" w:cs="仿宋_GB2312"/>
                <w:b/>
                <w:bCs/>
                <w:sz w:val="21"/>
                <w:szCs w:val="21"/>
                <w:highlight w:val="none"/>
              </w:rPr>
              <w:t>检验项目</w:t>
            </w:r>
          </w:p>
        </w:tc>
        <w:tc>
          <w:tcPr>
            <w:tcW w:w="371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sz w:val="21"/>
                <w:szCs w:val="21"/>
                <w:highlight w:val="none"/>
              </w:rPr>
            </w:pPr>
            <w:r>
              <w:rPr>
                <w:rFonts w:hint="eastAsia" w:ascii="Times New Roman" w:hAnsi="Times New Roman" w:eastAsia="仿宋_GB2312" w:cs="仿宋_GB2312"/>
                <w:b/>
                <w:bCs/>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1</w:t>
            </w:r>
          </w:p>
        </w:tc>
        <w:tc>
          <w:tcPr>
            <w:tcW w:w="42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突出部件</w:t>
            </w:r>
          </w:p>
        </w:tc>
        <w:tc>
          <w:tcPr>
            <w:tcW w:w="371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2</w:t>
            </w:r>
          </w:p>
        </w:tc>
        <w:tc>
          <w:tcPr>
            <w:tcW w:w="42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静态强度和动态强度</w:t>
            </w:r>
          </w:p>
        </w:tc>
        <w:tc>
          <w:tcPr>
            <w:tcW w:w="371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3</w:t>
            </w:r>
          </w:p>
        </w:tc>
        <w:tc>
          <w:tcPr>
            <w:tcW w:w="42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把立管强度</w:t>
            </w:r>
          </w:p>
        </w:tc>
        <w:tc>
          <w:tcPr>
            <w:tcW w:w="371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4</w:t>
            </w:r>
          </w:p>
        </w:tc>
        <w:tc>
          <w:tcPr>
            <w:tcW w:w="42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三轮滑板车的稳定性</w:t>
            </w:r>
          </w:p>
        </w:tc>
        <w:tc>
          <w:tcPr>
            <w:tcW w:w="371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5</w:t>
            </w:r>
          </w:p>
        </w:tc>
        <w:tc>
          <w:tcPr>
            <w:tcW w:w="42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可调节、可折叠的把立管和把横管</w:t>
            </w:r>
          </w:p>
        </w:tc>
        <w:tc>
          <w:tcPr>
            <w:tcW w:w="371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6</w:t>
            </w:r>
          </w:p>
        </w:tc>
        <w:tc>
          <w:tcPr>
            <w:tcW w:w="429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刹车</w:t>
            </w:r>
          </w:p>
        </w:tc>
        <w:tc>
          <w:tcPr>
            <w:tcW w:w="371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GB 6675.12—2014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仿宋_GB2312"/>
                <w:color w:val="000000"/>
                <w:sz w:val="21"/>
                <w:szCs w:val="21"/>
                <w:highlight w:val="none"/>
              </w:rPr>
            </w:pPr>
            <w:r>
              <w:rPr>
                <w:rFonts w:hint="eastAsia" w:ascii="Times New Roman" w:hAnsi="Times New Roman" w:eastAsia="仿宋_GB2312" w:cs="仿宋_GB2312"/>
                <w:color w:val="000000"/>
                <w:sz w:val="21"/>
                <w:szCs w:val="21"/>
                <w:highlight w:val="none"/>
              </w:rPr>
              <w:t>备注：玩具滑板车检测项目为：</w:t>
            </w:r>
            <w:r>
              <w:rPr>
                <w:rFonts w:hint="eastAsia" w:cs="仿宋_GB2312"/>
                <w:color w:val="000000"/>
                <w:sz w:val="21"/>
                <w:szCs w:val="21"/>
                <w:highlight w:val="none"/>
                <w:lang w:val="en-US" w:eastAsia="zh-CN"/>
              </w:rPr>
              <w:t>2.1、2.3</w:t>
            </w:r>
            <w:r>
              <w:rPr>
                <w:rFonts w:hint="eastAsia" w:ascii="Times New Roman" w:hAnsi="Times New Roman" w:eastAsia="仿宋_GB2312" w:cs="仿宋_GB2312"/>
                <w:color w:val="000000"/>
                <w:sz w:val="21"/>
                <w:szCs w:val="21"/>
                <w:highlight w:val="none"/>
              </w:rPr>
              <w:t>中所有适用项目。</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both"/>
        <w:textAlignment w:val="auto"/>
        <w:rPr>
          <w:rFonts w:hint="eastAsia" w:ascii="Times New Roman" w:hAnsi="Times New Roman" w:eastAsia="仿宋_GB2312" w:cs="仿宋_GB2312"/>
          <w:sz w:val="32"/>
          <w:szCs w:val="40"/>
          <w:highlight w:val="none"/>
        </w:rPr>
      </w:pPr>
      <w:r>
        <w:rPr>
          <w:rFonts w:hint="eastAsia" w:cs="仿宋_GB2312"/>
          <w:sz w:val="32"/>
          <w:szCs w:val="40"/>
          <w:highlight w:val="none"/>
          <w:lang w:val="en-US" w:eastAsia="zh-CN"/>
        </w:rPr>
        <w:t>2.4</w:t>
      </w:r>
      <w:r>
        <w:rPr>
          <w:rFonts w:hint="eastAsia" w:ascii="Times New Roman" w:hAnsi="Times New Roman" w:eastAsia="仿宋_GB2312" w:cs="仿宋_GB2312"/>
          <w:sz w:val="32"/>
          <w:szCs w:val="40"/>
          <w:highlight w:val="none"/>
        </w:rPr>
        <w:t xml:space="preserve"> 化学及类似实验玩具</w:t>
      </w:r>
    </w:p>
    <w:tbl>
      <w:tblPr>
        <w:tblStyle w:val="6"/>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3"/>
        <w:gridCol w:w="4382"/>
        <w:gridCol w:w="3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sz w:val="21"/>
                <w:szCs w:val="21"/>
                <w:highlight w:val="none"/>
              </w:rPr>
            </w:pPr>
            <w:r>
              <w:rPr>
                <w:rFonts w:hint="eastAsia" w:ascii="Times New Roman" w:hAnsi="Times New Roman" w:eastAsia="仿宋_GB2312" w:cs="仿宋_GB2312"/>
                <w:b/>
                <w:bCs/>
                <w:sz w:val="21"/>
                <w:szCs w:val="21"/>
                <w:highlight w:val="none"/>
              </w:rPr>
              <w:t>序号</w:t>
            </w:r>
          </w:p>
        </w:tc>
        <w:tc>
          <w:tcPr>
            <w:tcW w:w="438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sz w:val="21"/>
                <w:szCs w:val="21"/>
                <w:highlight w:val="none"/>
              </w:rPr>
            </w:pPr>
            <w:r>
              <w:rPr>
                <w:rFonts w:hint="eastAsia" w:ascii="Times New Roman" w:hAnsi="Times New Roman" w:eastAsia="仿宋_GB2312" w:cs="仿宋_GB2312"/>
                <w:b/>
                <w:bCs/>
                <w:sz w:val="21"/>
                <w:szCs w:val="21"/>
                <w:highlight w:val="none"/>
              </w:rPr>
              <w:t>检验项目</w:t>
            </w:r>
          </w:p>
        </w:tc>
        <w:tc>
          <w:tcPr>
            <w:tcW w:w="362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b/>
                <w:bCs/>
                <w:sz w:val="21"/>
                <w:szCs w:val="21"/>
                <w:highlight w:val="none"/>
              </w:rPr>
            </w:pPr>
            <w:r>
              <w:rPr>
                <w:rFonts w:hint="eastAsia" w:ascii="Times New Roman" w:hAnsi="Times New Roman" w:eastAsia="仿宋_GB2312" w:cs="仿宋_GB2312"/>
                <w:b/>
                <w:bCs/>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1</w:t>
            </w:r>
          </w:p>
        </w:tc>
        <w:tc>
          <w:tcPr>
            <w:tcW w:w="438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化学物质</w:t>
            </w:r>
          </w:p>
        </w:tc>
        <w:tc>
          <w:tcPr>
            <w:tcW w:w="362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26387—2011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2</w:t>
            </w:r>
          </w:p>
        </w:tc>
        <w:tc>
          <w:tcPr>
            <w:tcW w:w="438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单个容器和玻璃器皿的标注</w:t>
            </w:r>
          </w:p>
        </w:tc>
        <w:tc>
          <w:tcPr>
            <w:tcW w:w="362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26387—2011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 w:hRule="atLeast"/>
        </w:trPr>
        <w:tc>
          <w:tcPr>
            <w:tcW w:w="116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3</w:t>
            </w:r>
          </w:p>
        </w:tc>
        <w:tc>
          <w:tcPr>
            <w:tcW w:w="438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外部包装上的标注</w:t>
            </w:r>
          </w:p>
        </w:tc>
        <w:tc>
          <w:tcPr>
            <w:tcW w:w="362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GB 26387—2011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 w:hRule="atLeast"/>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Times New Roman" w:hAnsi="Times New Roman" w:eastAsia="仿宋_GB2312" w:cs="仿宋_GB2312"/>
                <w:color w:val="000000"/>
                <w:sz w:val="21"/>
                <w:szCs w:val="21"/>
                <w:highlight w:val="none"/>
                <w:lang w:val="en-US" w:eastAsia="zh-CN"/>
              </w:rPr>
            </w:pPr>
            <w:r>
              <w:rPr>
                <w:rFonts w:hint="eastAsia" w:ascii="Times New Roman" w:hAnsi="Times New Roman" w:eastAsia="仿宋_GB2312" w:cs="仿宋_GB2312"/>
                <w:color w:val="000000"/>
                <w:sz w:val="21"/>
                <w:szCs w:val="21"/>
                <w:highlight w:val="none"/>
                <w:lang w:val="en-US" w:eastAsia="zh-CN"/>
              </w:rPr>
              <w:t>备注：化学及类似实验玩具检测项目为：</w:t>
            </w:r>
            <w:r>
              <w:rPr>
                <w:rFonts w:hint="eastAsia" w:cs="仿宋_GB2312"/>
                <w:color w:val="000000"/>
                <w:sz w:val="21"/>
                <w:szCs w:val="21"/>
                <w:highlight w:val="none"/>
                <w:lang w:val="en-US" w:eastAsia="zh-CN"/>
              </w:rPr>
              <w:t>2.1、2.4</w:t>
            </w:r>
            <w:r>
              <w:rPr>
                <w:rFonts w:hint="eastAsia" w:ascii="Times New Roman" w:hAnsi="Times New Roman" w:eastAsia="仿宋_GB2312" w:cs="仿宋_GB2312"/>
                <w:color w:val="000000"/>
                <w:sz w:val="21"/>
                <w:szCs w:val="21"/>
                <w:highlight w:val="none"/>
                <w:lang w:val="en-US" w:eastAsia="zh-CN"/>
              </w:rPr>
              <w:t>中所有适用项目。</w:t>
            </w:r>
          </w:p>
        </w:tc>
      </w:tr>
    </w:tbl>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0" w:firstLineChars="200"/>
        <w:textAlignment w:val="auto"/>
        <w:rPr>
          <w:rFonts w:hint="eastAsia" w:ascii="Times New Roman" w:hAnsi="Times New Roman" w:eastAsia="仿宋_GB2312" w:cs="仿宋_GB2312"/>
          <w:sz w:val="28"/>
          <w:szCs w:val="36"/>
          <w:highlight w:val="none"/>
        </w:rPr>
      </w:pPr>
      <w:r>
        <w:rPr>
          <w:rFonts w:hint="eastAsia" w:ascii="Times New Roman" w:hAnsi="Times New Roman" w:eastAsia="仿宋_GB2312" w:cs="仿宋_GB2312"/>
          <w:sz w:val="28"/>
          <w:szCs w:val="36"/>
          <w:highlight w:val="none"/>
        </w:rPr>
        <w:t>备注：</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0" w:firstLineChars="200"/>
        <w:textAlignment w:val="auto"/>
        <w:rPr>
          <w:rFonts w:hint="eastAsia" w:ascii="Times New Roman" w:hAnsi="Times New Roman" w:eastAsia="仿宋_GB2312" w:cs="仿宋_GB2312"/>
          <w:sz w:val="28"/>
          <w:szCs w:val="36"/>
          <w:highlight w:val="none"/>
        </w:rPr>
      </w:pPr>
      <w:r>
        <w:rPr>
          <w:rFonts w:hint="eastAsia" w:ascii="Times New Roman" w:hAnsi="Times New Roman" w:eastAsia="仿宋_GB2312" w:cs="仿宋_GB2312"/>
          <w:sz w:val="28"/>
          <w:szCs w:val="36"/>
          <w:highlight w:val="none"/>
        </w:rPr>
        <w:t>1.</w:t>
      </w:r>
      <w:r>
        <w:rPr>
          <w:rFonts w:hint="eastAsia" w:ascii="Times New Roman" w:hAnsi="Times New Roman" w:eastAsia="仿宋_GB2312" w:cs="Times New Roman"/>
          <w:color w:val="auto"/>
          <w:sz w:val="32"/>
          <w:szCs w:val="32"/>
          <w:highlight w:val="none"/>
          <w:lang w:val="en-US" w:eastAsia="zh-CN"/>
        </w:rPr>
        <w:t>电性能</w:t>
      </w:r>
      <w:r>
        <w:rPr>
          <w:rFonts w:hint="default" w:ascii="Times New Roman" w:hAnsi="Times New Roman" w:eastAsia="仿宋_GB2312" w:cs="Times New Roman"/>
          <w:color w:val="auto"/>
          <w:sz w:val="32"/>
          <w:szCs w:val="32"/>
          <w:highlight w:val="none"/>
        </w:rPr>
        <w:t>项目适用于明示具有</w:t>
      </w:r>
      <w:r>
        <w:rPr>
          <w:rFonts w:hint="eastAsia" w:ascii="Times New Roman" w:hAnsi="Times New Roman" w:eastAsia="仿宋_GB2312" w:cs="Times New Roman"/>
          <w:color w:val="auto"/>
          <w:sz w:val="32"/>
          <w:szCs w:val="32"/>
          <w:highlight w:val="none"/>
          <w:lang w:val="en-US" w:eastAsia="zh-CN"/>
        </w:rPr>
        <w:t>电性能</w:t>
      </w:r>
      <w:r>
        <w:rPr>
          <w:rFonts w:hint="default" w:ascii="Times New Roman" w:hAnsi="Times New Roman" w:eastAsia="仿宋_GB2312" w:cs="Times New Roman"/>
          <w:color w:val="auto"/>
          <w:sz w:val="32"/>
          <w:szCs w:val="32"/>
          <w:highlight w:val="none"/>
        </w:rPr>
        <w:t>功能的</w:t>
      </w:r>
      <w:r>
        <w:rPr>
          <w:rFonts w:hint="eastAsia" w:ascii="Times New Roman" w:hAnsi="Times New Roman" w:eastAsia="仿宋_GB2312" w:cs="Times New Roman"/>
          <w:color w:val="auto"/>
          <w:sz w:val="32"/>
          <w:szCs w:val="32"/>
          <w:highlight w:val="none"/>
          <w:lang w:val="en-US" w:eastAsia="zh-CN"/>
        </w:rPr>
        <w:t>产品</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仿宋_GB2312"/>
          <w:sz w:val="28"/>
          <w:szCs w:val="36"/>
          <w:highlight w:val="none"/>
        </w:rPr>
        <w:t>进行GB 19865—2005测试前应按标准第5章进行预处理。</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560" w:firstLineChars="200"/>
        <w:textAlignment w:val="auto"/>
        <w:rPr>
          <w:rFonts w:hint="eastAsia" w:ascii="Times New Roman" w:hAnsi="Times New Roman" w:eastAsia="仿宋_GB2312" w:cs="仿宋_GB2312"/>
          <w:sz w:val="28"/>
          <w:szCs w:val="36"/>
          <w:highlight w:val="none"/>
        </w:rPr>
      </w:pPr>
      <w:r>
        <w:rPr>
          <w:rFonts w:hint="eastAsia" w:ascii="Times New Roman" w:hAnsi="Times New Roman" w:eastAsia="仿宋_GB2312" w:cs="仿宋_GB2312"/>
          <w:sz w:val="28"/>
          <w:szCs w:val="36"/>
          <w:highlight w:val="none"/>
        </w:rPr>
        <w:t>2.当玩具滑板车同时具有滑板车模式和乘骑模式时，GB 6675.12—2014只适用于滑板车模式。</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执行企业标准、团体标准、地方标准的产品，检验项目参照上述内容执行。</w:t>
      </w:r>
    </w:p>
    <w:p>
      <w:pPr>
        <w:keepNext w:val="0"/>
        <w:keepLines w:val="0"/>
        <w:pageBreakBefore w:val="0"/>
        <w:overflowPunct/>
        <w:topLinePunct w:val="0"/>
        <w:autoSpaceDE w:val="0"/>
        <w:bidi w:val="0"/>
        <w:adjustRightInd/>
        <w:snapToGrid/>
        <w:spacing w:beforeAutospacing="0" w:afterAutospacing="0" w:line="560" w:lineRule="exact"/>
        <w:ind w:firstLine="640" w:firstLineChars="200"/>
        <w:rPr>
          <w:rFonts w:ascii="Times New Roman" w:hAnsi="Times New Roman" w:eastAsia="仿宋_GB2312" w:cs="Times New Roman"/>
          <w:sz w:val="32"/>
          <w:szCs w:val="32"/>
          <w:highlight w:val="none"/>
        </w:rPr>
      </w:pPr>
      <w:r>
        <w:rPr>
          <w:rFonts w:ascii="Times New Roman" w:hAnsi="Times New Roman" w:eastAsia="黑体" w:cs="Times New Roman"/>
          <w:sz w:val="32"/>
          <w:szCs w:val="32"/>
          <w:highlight w:val="none"/>
        </w:rPr>
        <w:t xml:space="preserve">3 </w:t>
      </w:r>
      <w:r>
        <w:rPr>
          <w:rFonts w:hint="eastAsia" w:ascii="Times New Roman" w:hAnsi="Times New Roman" w:eastAsia="黑体" w:cs="黑体"/>
          <w:sz w:val="32"/>
          <w:szCs w:val="32"/>
          <w:highlight w:val="none"/>
        </w:rPr>
        <w:t>判定规则</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楷体_GB2312" w:cs="楷体_GB2312"/>
          <w:sz w:val="32"/>
          <w:szCs w:val="40"/>
          <w:highlight w:val="none"/>
        </w:rPr>
      </w:pPr>
      <w:r>
        <w:rPr>
          <w:rFonts w:hint="eastAsia" w:ascii="Times New Roman" w:hAnsi="Times New Roman" w:eastAsia="楷体_GB2312" w:cs="楷体_GB2312"/>
          <w:sz w:val="32"/>
          <w:szCs w:val="40"/>
          <w:highlight w:val="none"/>
        </w:rPr>
        <w:t>3.1</w:t>
      </w:r>
      <w:r>
        <w:rPr>
          <w:rFonts w:hint="eastAsia" w:ascii="Times New Roman" w:hAnsi="Times New Roman" w:eastAsia="楷体_GB2312" w:cs="楷体_GB2312"/>
          <w:sz w:val="32"/>
          <w:szCs w:val="40"/>
          <w:highlight w:val="none"/>
          <w:lang w:val="en-US" w:eastAsia="zh-CN"/>
        </w:rPr>
        <w:t xml:space="preserve"> </w:t>
      </w:r>
      <w:r>
        <w:rPr>
          <w:rFonts w:hint="eastAsia" w:ascii="Times New Roman" w:hAnsi="Times New Roman" w:eastAsia="楷体_GB2312" w:cs="楷体_GB2312"/>
          <w:sz w:val="32"/>
          <w:szCs w:val="40"/>
          <w:highlight w:val="none"/>
        </w:rPr>
        <w:t>依据标准</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GB 6675.1—2014</w:t>
      </w:r>
      <w:r>
        <w:rPr>
          <w:rFonts w:hint="eastAsia" w:ascii="Times New Roman" w:hAnsi="Times New Roman" w:eastAsia="仿宋_GB2312" w:cs="仿宋_GB2312"/>
          <w:sz w:val="32"/>
          <w:szCs w:val="40"/>
          <w:highlight w:val="none"/>
          <w:lang w:eastAsia="zh-CN"/>
        </w:rPr>
        <w:t>《</w:t>
      </w:r>
      <w:r>
        <w:rPr>
          <w:rFonts w:hint="eastAsia" w:ascii="Times New Roman" w:hAnsi="Times New Roman" w:eastAsia="仿宋_GB2312" w:cs="仿宋_GB2312"/>
          <w:sz w:val="32"/>
          <w:szCs w:val="40"/>
          <w:highlight w:val="none"/>
        </w:rPr>
        <w:t>玩具安全  第1部分：基本规范</w:t>
      </w:r>
      <w:r>
        <w:rPr>
          <w:rFonts w:hint="eastAsia" w:ascii="Times New Roman" w:hAnsi="Times New Roman" w:eastAsia="仿宋_GB2312" w:cs="仿宋_GB2312"/>
          <w:sz w:val="32"/>
          <w:szCs w:val="40"/>
          <w:highlight w:val="none"/>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GB 6675.2—2014</w:t>
      </w:r>
      <w:r>
        <w:rPr>
          <w:rFonts w:hint="eastAsia" w:ascii="Times New Roman" w:hAnsi="Times New Roman" w:eastAsia="仿宋_GB2312" w:cs="仿宋_GB2312"/>
          <w:sz w:val="32"/>
          <w:szCs w:val="40"/>
          <w:highlight w:val="none"/>
          <w:lang w:eastAsia="zh-CN"/>
        </w:rPr>
        <w:t>《</w:t>
      </w:r>
      <w:r>
        <w:rPr>
          <w:rFonts w:hint="eastAsia" w:ascii="Times New Roman" w:hAnsi="Times New Roman" w:eastAsia="仿宋_GB2312" w:cs="仿宋_GB2312"/>
          <w:sz w:val="32"/>
          <w:szCs w:val="40"/>
          <w:highlight w:val="none"/>
        </w:rPr>
        <w:t>玩具安全  第2部分：机械与物理性能（含第1号修改单）</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GB 6675.3—2014</w:t>
      </w:r>
      <w:r>
        <w:rPr>
          <w:rFonts w:hint="eastAsia" w:ascii="Times New Roman" w:hAnsi="Times New Roman" w:eastAsia="仿宋_GB2312" w:cs="仿宋_GB2312"/>
          <w:sz w:val="32"/>
          <w:szCs w:val="40"/>
          <w:highlight w:val="none"/>
          <w:lang w:eastAsia="zh-CN"/>
        </w:rPr>
        <w:t>《</w:t>
      </w:r>
      <w:r>
        <w:rPr>
          <w:rFonts w:hint="eastAsia" w:ascii="Times New Roman" w:hAnsi="Times New Roman" w:eastAsia="仿宋_GB2312" w:cs="仿宋_GB2312"/>
          <w:sz w:val="32"/>
          <w:szCs w:val="40"/>
          <w:highlight w:val="none"/>
        </w:rPr>
        <w:t>玩具安全  第3部分：易燃性能</w:t>
      </w:r>
      <w:r>
        <w:rPr>
          <w:rFonts w:hint="eastAsia" w:ascii="Times New Roman" w:hAnsi="Times New Roman" w:eastAsia="仿宋_GB2312" w:cs="仿宋_GB2312"/>
          <w:sz w:val="32"/>
          <w:szCs w:val="40"/>
          <w:highlight w:val="none"/>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GB 6675.4—2014</w:t>
      </w:r>
      <w:r>
        <w:rPr>
          <w:rFonts w:hint="eastAsia" w:ascii="Times New Roman" w:hAnsi="Times New Roman" w:eastAsia="仿宋_GB2312" w:cs="仿宋_GB2312"/>
          <w:sz w:val="32"/>
          <w:szCs w:val="40"/>
          <w:highlight w:val="none"/>
          <w:lang w:eastAsia="zh-CN"/>
        </w:rPr>
        <w:t>《</w:t>
      </w:r>
      <w:r>
        <w:rPr>
          <w:rFonts w:hint="eastAsia" w:ascii="Times New Roman" w:hAnsi="Times New Roman" w:eastAsia="仿宋_GB2312" w:cs="仿宋_GB2312"/>
          <w:sz w:val="32"/>
          <w:szCs w:val="40"/>
          <w:highlight w:val="none"/>
        </w:rPr>
        <w:t>玩具安全  第4部分：特定元素的迁移</w:t>
      </w:r>
      <w:r>
        <w:rPr>
          <w:rFonts w:hint="eastAsia" w:ascii="Times New Roman" w:hAnsi="Times New Roman" w:eastAsia="仿宋_GB2312" w:cs="仿宋_GB2312"/>
          <w:sz w:val="32"/>
          <w:szCs w:val="40"/>
          <w:highlight w:val="none"/>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GB 19865—2005</w:t>
      </w:r>
      <w:r>
        <w:rPr>
          <w:rFonts w:hint="eastAsia" w:ascii="Times New Roman" w:hAnsi="Times New Roman" w:eastAsia="仿宋_GB2312" w:cs="仿宋_GB2312"/>
          <w:sz w:val="32"/>
          <w:szCs w:val="40"/>
          <w:highlight w:val="none"/>
          <w:lang w:eastAsia="zh-CN"/>
        </w:rPr>
        <w:t>《</w:t>
      </w:r>
      <w:r>
        <w:rPr>
          <w:rFonts w:hint="eastAsia" w:ascii="Times New Roman" w:hAnsi="Times New Roman" w:eastAsia="仿宋_GB2312" w:cs="仿宋_GB2312"/>
          <w:sz w:val="32"/>
          <w:szCs w:val="40"/>
          <w:highlight w:val="none"/>
        </w:rPr>
        <w:t>电玩具的安全</w:t>
      </w:r>
      <w:r>
        <w:rPr>
          <w:rFonts w:hint="eastAsia" w:ascii="Times New Roman" w:hAnsi="Times New Roman" w:eastAsia="仿宋_GB2312" w:cs="仿宋_GB2312"/>
          <w:sz w:val="32"/>
          <w:szCs w:val="40"/>
          <w:highlight w:val="none"/>
          <w:lang w:eastAsia="zh-CN"/>
        </w:rPr>
        <w:t>》</w:t>
      </w:r>
      <w:r>
        <w:rPr>
          <w:rFonts w:hint="eastAsia" w:ascii="Times New Roman" w:hAnsi="Times New Roman" w:eastAsia="仿宋_GB2312" w:cs="仿宋_GB2312"/>
          <w:sz w:val="32"/>
          <w:szCs w:val="40"/>
          <w:highlight w:val="none"/>
        </w:rPr>
        <w:t>（含第1号修改单）（适用于带电玩具）</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GB 6675.12—2014</w:t>
      </w:r>
      <w:r>
        <w:rPr>
          <w:rFonts w:hint="eastAsia" w:ascii="Times New Roman" w:hAnsi="Times New Roman" w:eastAsia="仿宋_GB2312" w:cs="仿宋_GB2312"/>
          <w:sz w:val="32"/>
          <w:szCs w:val="40"/>
          <w:highlight w:val="none"/>
          <w:lang w:eastAsia="zh-CN"/>
        </w:rPr>
        <w:t>《</w:t>
      </w:r>
      <w:r>
        <w:rPr>
          <w:rFonts w:hint="eastAsia" w:ascii="Times New Roman" w:hAnsi="Times New Roman" w:eastAsia="仿宋_GB2312" w:cs="仿宋_GB2312"/>
          <w:sz w:val="32"/>
          <w:szCs w:val="40"/>
          <w:highlight w:val="none"/>
        </w:rPr>
        <w:t>玩具安全第12部分：玩具滑板车</w:t>
      </w:r>
      <w:r>
        <w:rPr>
          <w:rFonts w:hint="eastAsia" w:ascii="Times New Roman" w:hAnsi="Times New Roman" w:eastAsia="仿宋_GB2312" w:cs="仿宋_GB2312"/>
          <w:sz w:val="32"/>
          <w:szCs w:val="40"/>
          <w:highlight w:val="none"/>
          <w:lang w:eastAsia="zh-CN"/>
        </w:rPr>
        <w:t>》</w:t>
      </w:r>
      <w:r>
        <w:rPr>
          <w:rFonts w:hint="eastAsia" w:ascii="Times New Roman" w:hAnsi="Times New Roman" w:eastAsia="仿宋_GB2312" w:cs="仿宋_GB2312"/>
          <w:sz w:val="32"/>
          <w:szCs w:val="40"/>
          <w:highlight w:val="none"/>
        </w:rPr>
        <w:t>（适用于玩具滑板车）</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GB 26387—2011</w:t>
      </w:r>
      <w:r>
        <w:rPr>
          <w:rFonts w:hint="eastAsia" w:ascii="Times New Roman" w:hAnsi="Times New Roman" w:eastAsia="仿宋_GB2312" w:cs="仿宋_GB2312"/>
          <w:sz w:val="32"/>
          <w:szCs w:val="40"/>
          <w:highlight w:val="none"/>
          <w:lang w:eastAsia="zh-CN"/>
        </w:rPr>
        <w:t>《</w:t>
      </w:r>
      <w:r>
        <w:rPr>
          <w:rFonts w:hint="eastAsia" w:ascii="Times New Roman" w:hAnsi="Times New Roman" w:eastAsia="仿宋_GB2312" w:cs="仿宋_GB2312"/>
          <w:sz w:val="32"/>
          <w:szCs w:val="40"/>
          <w:highlight w:val="none"/>
        </w:rPr>
        <w:t>玩具安全化学及类似活动的实验玩具</w:t>
      </w:r>
      <w:r>
        <w:rPr>
          <w:rFonts w:hint="eastAsia" w:ascii="Times New Roman" w:hAnsi="Times New Roman" w:eastAsia="仿宋_GB2312" w:cs="仿宋_GB2312"/>
          <w:sz w:val="32"/>
          <w:szCs w:val="40"/>
          <w:highlight w:val="none"/>
          <w:lang w:eastAsia="zh-CN"/>
        </w:rPr>
        <w:t>》</w:t>
      </w:r>
      <w:r>
        <w:rPr>
          <w:rFonts w:hint="eastAsia" w:ascii="Times New Roman" w:hAnsi="Times New Roman" w:eastAsia="仿宋_GB2312" w:cs="仿宋_GB2312"/>
          <w:sz w:val="32"/>
          <w:szCs w:val="40"/>
          <w:highlight w:val="none"/>
        </w:rPr>
        <w:t>（适用于化学及类似实验玩具）</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GB/T 22048—2022</w:t>
      </w:r>
      <w:r>
        <w:rPr>
          <w:rFonts w:hint="eastAsia" w:ascii="Times New Roman" w:hAnsi="Times New Roman" w:eastAsia="仿宋_GB2312" w:cs="仿宋_GB2312"/>
          <w:sz w:val="32"/>
          <w:szCs w:val="40"/>
          <w:highlight w:val="none"/>
          <w:lang w:eastAsia="zh-CN"/>
        </w:rPr>
        <w:t>《</w:t>
      </w:r>
      <w:r>
        <w:rPr>
          <w:rFonts w:hint="eastAsia" w:ascii="Times New Roman" w:hAnsi="Times New Roman" w:eastAsia="仿宋_GB2312" w:cs="仿宋_GB2312"/>
          <w:sz w:val="32"/>
          <w:szCs w:val="40"/>
          <w:highlight w:val="none"/>
        </w:rPr>
        <w:t>玩具及儿童用品中特定邻苯二甲酸酯增塑剂的测定</w:t>
      </w:r>
      <w:r>
        <w:rPr>
          <w:rFonts w:hint="eastAsia" w:ascii="Times New Roman" w:hAnsi="Times New Roman" w:eastAsia="仿宋_GB2312" w:cs="仿宋_GB2312"/>
          <w:sz w:val="32"/>
          <w:szCs w:val="40"/>
          <w:highlight w:val="none"/>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楷体_GB2312" w:cs="楷体_GB2312"/>
          <w:sz w:val="32"/>
          <w:szCs w:val="40"/>
          <w:highlight w:val="none"/>
        </w:rPr>
      </w:pPr>
      <w:r>
        <w:rPr>
          <w:rFonts w:hint="eastAsia" w:ascii="Times New Roman" w:hAnsi="Times New Roman" w:eastAsia="楷体_GB2312" w:cs="楷体_GB2312"/>
          <w:sz w:val="32"/>
          <w:szCs w:val="40"/>
          <w:highlight w:val="none"/>
        </w:rPr>
        <w:t>3.2</w:t>
      </w:r>
      <w:r>
        <w:rPr>
          <w:rFonts w:hint="eastAsia" w:ascii="Times New Roman" w:hAnsi="Times New Roman" w:eastAsia="楷体_GB2312" w:cs="楷体_GB2312"/>
          <w:sz w:val="32"/>
          <w:szCs w:val="40"/>
          <w:highlight w:val="none"/>
          <w:lang w:val="en-US" w:eastAsia="zh-CN"/>
        </w:rPr>
        <w:t xml:space="preserve"> </w:t>
      </w:r>
      <w:r>
        <w:rPr>
          <w:rFonts w:hint="eastAsia" w:ascii="Times New Roman" w:hAnsi="Times New Roman" w:eastAsia="楷体_GB2312" w:cs="楷体_GB2312"/>
          <w:sz w:val="32"/>
          <w:szCs w:val="40"/>
          <w:highlight w:val="none"/>
        </w:rPr>
        <w:t>判定原则</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仿宋_GB2312"/>
          <w:sz w:val="32"/>
          <w:szCs w:val="40"/>
          <w:highlight w:val="none"/>
        </w:rPr>
      </w:pPr>
      <w:r>
        <w:rPr>
          <w:rFonts w:hint="eastAsia" w:ascii="Times New Roman" w:hAnsi="Times New Roman" w:eastAsia="仿宋_GB2312" w:cs="仿宋_GB2312"/>
          <w:sz w:val="32"/>
          <w:szCs w:val="40"/>
          <w:highlight w:val="none"/>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textAlignment w:val="auto"/>
        <w:rPr>
          <w:rFonts w:hint="eastAsia" w:ascii="Times New Roman" w:hAnsi="Times New Roman" w:eastAsia="仿宋_GB2312" w:cs="仿宋_GB2312"/>
          <w:sz w:val="32"/>
          <w:szCs w:val="40"/>
          <w:highlight w:val="none"/>
        </w:rPr>
      </w:pPr>
    </w:p>
    <w:sectPr>
      <w:pgSz w:w="11906" w:h="16838"/>
      <w:pgMar w:top="2098" w:right="1474" w:bottom="1701" w:left="1587" w:header="851" w:footer="1191" w:gutter="0"/>
      <w:pgBorders>
        <w:top w:val="none" w:sz="0" w:space="0"/>
        <w:left w:val="none" w:sz="0" w:space="0"/>
        <w:bottom w:val="none" w:sz="0" w:space="0"/>
        <w:right w:val="none" w:sz="0" w:space="0"/>
      </w:pgBorders>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7A11453"/>
    <w:rsid w:val="0EF54084"/>
    <w:rsid w:val="3ACE4BC8"/>
    <w:rsid w:val="5FDE0AD6"/>
    <w:rsid w:val="77A11453"/>
    <w:rsid w:val="BF3F1F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Indent"/>
    <w:qFormat/>
    <w:uiPriority w:val="0"/>
    <w:pPr>
      <w:widowControl w:val="0"/>
      <w:spacing w:line="360" w:lineRule="auto"/>
      <w:ind w:firstLine="480" w:firstLineChars="200"/>
      <w:jc w:val="both"/>
    </w:pPr>
    <w:rPr>
      <w:rFonts w:ascii="宋体" w:hAnsi="宋体" w:eastAsia="宋体" w:cs="Times New Roman"/>
      <w:kern w:val="2"/>
      <w:sz w:val="24"/>
      <w:lang w:val="en-US" w:eastAsia="zh-CN" w:bidi="ar-SA"/>
    </w:rPr>
  </w:style>
  <w:style w:type="paragraph" w:styleId="4">
    <w:name w:val="Plain Text"/>
    <w:qFormat/>
    <w:uiPriority w:val="99"/>
    <w:pPr>
      <w:widowControl w:val="0"/>
      <w:jc w:val="both"/>
    </w:pPr>
    <w:rPr>
      <w:rFonts w:ascii="宋体" w:hAnsi="Courier New" w:eastAsia="宋体" w:cs="Times New Roman"/>
      <w:kern w:val="2"/>
      <w:sz w:val="32"/>
      <w:szCs w:val="21"/>
      <w:lang w:val="en-US" w:eastAsia="zh-CN" w:bidi="ar-SA"/>
    </w:rPr>
  </w:style>
  <w:style w:type="paragraph" w:styleId="5">
    <w:name w:val="footer"/>
    <w:basedOn w:val="1"/>
    <w:qFormat/>
    <w:uiPriority w:val="0"/>
    <w:pPr>
      <w:tabs>
        <w:tab w:val="center" w:pos="4153"/>
        <w:tab w:val="right" w:pos="8306"/>
      </w:tabs>
      <w:snapToGrid w:val="0"/>
      <w:jc w:val="left"/>
    </w:pPr>
    <w:rPr>
      <w:sz w:val="18"/>
    </w:rPr>
  </w:style>
  <w:style w:type="table" w:styleId="7">
    <w:name w:val="Table Grid"/>
    <w:qFormat/>
    <w:uiPriority w:val="99"/>
    <w:rPr>
      <w:rFonts w:ascii="Calibri" w:hAnsi="Calibri"/>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9">
    <w:name w:val="Table Grid_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省市场监督管理局</Company>
  <Pages>9</Pages>
  <Words>3641</Words>
  <Characters>4908</Characters>
  <Lines>0</Lines>
  <Paragraphs>0</Paragraphs>
  <TotalTime>17</TotalTime>
  <ScaleCrop>false</ScaleCrop>
  <LinksUpToDate>false</LinksUpToDate>
  <CharactersWithSpaces>5058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2025-06-05T11:17:00Z</dcterms:created>
  <dc:creator>胡翌婧</dc:creator>
  <cp:lastModifiedBy>user</cp:lastModifiedBy>
  <cp:lastPrinted>2025-08-11T14:34:23Z</cp:lastPrinted>
  <dcterms:modified xsi:type="dcterms:W3CDTF">2025-08-11T14:46:30Z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584F39B860254498A400A74D1A838F08_13</vt:lpwstr>
  </property>
  <property fmtid="{D5CDD505-2E9C-101B-9397-08002B2CF9AE}" pid="3" name="KSOProductBuildVer">
    <vt:lpwstr>2052-11.8.2.10422</vt:lpwstr>
  </property>
  <property fmtid="{D5CDD505-2E9C-101B-9397-08002B2CF9AE}" pid="4" name="KSOTemplateDocerSaveRecord">
    <vt:lpwstr>eyJoZGlkIjoiMDk3M2U0ZDQ4YzMyZDhlMTI3OWMwYjE2N2QwMmUxMGEiLCJ1c2VySWQiOiI0Mjk3ODY0MzAifQ==</vt:lpwstr>
  </property>
</Properties>
</file>