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Times New Roman" w:cs="Times New Roman"/>
          <w:sz w:val="34"/>
          <w:szCs w:val="34"/>
          <w:lang w:eastAsia="zh-CN"/>
        </w:rPr>
      </w:pPr>
    </w:p>
    <w:p>
      <w:pPr>
        <w:spacing w:before="210" w:line="560" w:lineRule="exact"/>
        <w:ind w:left="3828" w:hanging="3300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东莞市</w:t>
      </w: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t>衣料用液体洗涤剂产品质量监督抽查</w:t>
      </w:r>
      <w:r>
        <w:rPr>
          <w:rFonts w:ascii="方正小标宋简体" w:hAnsi="方正小标宋简体" w:eastAsia="方正小标宋简体" w:cs="方正小标宋简体"/>
          <w:w w:val="99"/>
          <w:sz w:val="44"/>
          <w:szCs w:val="44"/>
          <w:lang w:eastAsia="zh-CN"/>
        </w:rPr>
        <w:t xml:space="preserve"> </w:t>
      </w:r>
      <w:r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  <w:t>实施细则</w:t>
      </w:r>
    </w:p>
    <w:p>
      <w:pPr>
        <w:pStyle w:val="2"/>
        <w:spacing w:before="76"/>
        <w:ind w:left="927" w:firstLine="2781"/>
        <w:rPr>
          <w:rFonts w:ascii="楷体" w:hAnsi="楷体" w:eastAsia="楷体" w:cs="楷体"/>
          <w:lang w:eastAsia="zh-CN"/>
        </w:rPr>
      </w:pPr>
      <w:r>
        <w:rPr>
          <w:rFonts w:ascii="楷体" w:hAnsi="楷体" w:eastAsia="楷体" w:cs="楷体"/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2025</w:t>
      </w:r>
      <w:r>
        <w:rPr>
          <w:rFonts w:ascii="Times New Roman" w:hAnsi="Times New Roman" w:eastAsia="Times New Roman" w:cs="Times New Roman"/>
          <w:spacing w:val="-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年版）</w:t>
      </w:r>
    </w:p>
    <w:p>
      <w:pPr>
        <w:rPr>
          <w:rFonts w:ascii="楷体" w:hAnsi="楷体" w:eastAsia="楷体" w:cs="楷体"/>
          <w:sz w:val="34"/>
          <w:szCs w:val="34"/>
          <w:lang w:eastAsia="zh-CN"/>
        </w:rPr>
      </w:pPr>
    </w:p>
    <w:p>
      <w:pPr>
        <w:pStyle w:val="2"/>
        <w:spacing w:before="233" w:line="312" w:lineRule="auto"/>
        <w:ind w:left="927"/>
        <w:rPr>
          <w:rFonts w:hint="eastAsia" w:ascii="黑体" w:hAnsi="黑体" w:eastAsia="黑体" w:cs="黑体"/>
          <w:w w:val="99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rFonts w:ascii="Times New Roman" w:hAnsi="Times New Roman" w:eastAsia="Times New Roman" w:cs="Times New Roman"/>
          <w:spacing w:val="78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抽样方法</w:t>
      </w:r>
      <w:r>
        <w:rPr>
          <w:rFonts w:ascii="黑体" w:hAnsi="黑体" w:eastAsia="黑体" w:cs="黑体"/>
          <w:w w:val="99"/>
          <w:lang w:eastAsia="zh-CN"/>
        </w:rPr>
        <w:t xml:space="preserve"> </w:t>
      </w:r>
    </w:p>
    <w:p>
      <w:pPr>
        <w:pStyle w:val="2"/>
        <w:spacing w:before="233" w:line="312" w:lineRule="auto"/>
        <w:ind w:leftChars="48" w:firstLine="800" w:firstLineChars="250"/>
        <w:rPr>
          <w:lang w:eastAsia="zh-CN"/>
        </w:rPr>
      </w:pPr>
      <w:r>
        <w:rPr>
          <w:lang w:eastAsia="zh-CN"/>
        </w:rPr>
        <w:t>以随机抽样的方式在被抽查市场主体的待销产品中抽取。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随机数一般可使用随机数表等方法产生。</w:t>
      </w:r>
    </w:p>
    <w:p>
      <w:pPr>
        <w:pStyle w:val="2"/>
        <w:spacing w:before="47"/>
        <w:ind w:left="927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每批次产品抽取</w:t>
      </w:r>
      <w:r>
        <w:rPr>
          <w:spacing w:val="-8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ascii="Times New Roman" w:hAnsi="Times New Roman" w:eastAsia="Times New Roman" w:cs="Times New Roman"/>
          <w:spacing w:val="-1"/>
          <w:lang w:eastAsia="zh-CN"/>
        </w:rPr>
        <w:t xml:space="preserve"> </w:t>
      </w:r>
      <w:r>
        <w:rPr>
          <w:spacing w:val="-3"/>
          <w:lang w:eastAsia="zh-CN"/>
        </w:rPr>
        <w:t>组样本（</w:t>
      </w:r>
      <w:r>
        <w:rPr>
          <w:rFonts w:ascii="Times New Roman" w:hAnsi="Times New Roman" w:eastAsia="Times New Roman" w:cs="Times New Roman"/>
          <w:spacing w:val="-3"/>
          <w:lang w:eastAsia="zh-CN"/>
        </w:rPr>
        <w:t>4</w:t>
      </w:r>
      <w:r>
        <w:rPr>
          <w:rFonts w:ascii="Times New Roman" w:hAnsi="Times New Roman" w:eastAsia="Times New Roman" w:cs="Times New Roman"/>
          <w:spacing w:val="-1"/>
          <w:lang w:eastAsia="zh-CN"/>
        </w:rPr>
        <w:t xml:space="preserve"> </w:t>
      </w:r>
      <w:r>
        <w:rPr>
          <w:lang w:eastAsia="zh-CN"/>
        </w:rPr>
        <w:t>瓶</w:t>
      </w:r>
      <w:r>
        <w:rPr>
          <w:rFonts w:ascii="Times New Roman" w:hAnsi="Times New Roman" w:eastAsia="Times New Roman" w:cs="Times New Roman"/>
          <w:lang w:eastAsia="zh-CN"/>
        </w:rPr>
        <w:t>/</w:t>
      </w:r>
      <w:r>
        <w:rPr>
          <w:lang w:eastAsia="zh-CN"/>
        </w:rPr>
        <w:t>袋总量不少于</w:t>
      </w:r>
      <w:r>
        <w:rPr>
          <w:spacing w:val="-8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5"/>
          <w:lang w:eastAsia="zh-CN"/>
        </w:rPr>
        <w:t>2Kg</w:t>
      </w:r>
      <w:r>
        <w:rPr>
          <w:spacing w:val="-5"/>
          <w:lang w:eastAsia="zh-CN"/>
        </w:rPr>
        <w:t>），第</w:t>
      </w:r>
      <w:r>
        <w:rPr>
          <w:spacing w:val="-8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</w:t>
      </w:r>
    </w:p>
    <w:p>
      <w:pPr>
        <w:pStyle w:val="2"/>
        <w:spacing w:before="116" w:line="302" w:lineRule="auto"/>
        <w:ind w:left="286"/>
        <w:rPr>
          <w:lang w:eastAsia="zh-CN"/>
        </w:rPr>
      </w:pPr>
      <w:r>
        <w:rPr>
          <w:spacing w:val="-8"/>
          <w:lang w:eastAsia="zh-CN"/>
        </w:rPr>
        <w:t>组用于检验，第</w:t>
      </w:r>
      <w:r>
        <w:rPr>
          <w:spacing w:val="-8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</w:t>
      </w:r>
      <w:r>
        <w:rPr>
          <w:rFonts w:ascii="Times New Roman" w:hAnsi="Times New Roman" w:eastAsia="Times New Roman" w:cs="Times New Roman"/>
          <w:spacing w:val="-5"/>
          <w:lang w:eastAsia="zh-CN"/>
        </w:rPr>
        <w:t xml:space="preserve"> </w:t>
      </w:r>
      <w:r>
        <w:rPr>
          <w:spacing w:val="-3"/>
          <w:lang w:eastAsia="zh-CN"/>
        </w:rPr>
        <w:t>组用于备样。每组样本需抽取样品数量如下表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所示：</w:t>
      </w:r>
    </w:p>
    <w:tbl>
      <w:tblPr>
        <w:tblStyle w:val="7"/>
        <w:tblW w:w="0" w:type="auto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3319"/>
        <w:gridCol w:w="2699"/>
        <w:gridCol w:w="19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308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109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64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第</w:t>
            </w:r>
            <w:r>
              <w:rPr>
                <w:rFonts w:ascii="仿宋_GB2312" w:hAnsi="仿宋_GB2312" w:eastAsia="仿宋_GB2312" w:cs="仿宋_GB2312"/>
                <w:b/>
                <w:bCs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组数量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6"/>
              <w:ind w:left="27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第</w:t>
            </w:r>
            <w:r>
              <w:rPr>
                <w:rFonts w:ascii="仿宋_GB2312" w:hAnsi="仿宋_GB2312" w:eastAsia="仿宋_GB2312" w:cs="仿宋_GB2312"/>
                <w:b/>
                <w:bCs/>
                <w:spacing w:val="-7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组数量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7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left="533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衣料用液体洗涤剂</w:t>
            </w:r>
          </w:p>
        </w:tc>
        <w:tc>
          <w:tcPr>
            <w:tcW w:w="2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/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袋</w:t>
            </w:r>
          </w:p>
        </w:tc>
        <w:tc>
          <w:tcPr>
            <w:tcW w:w="1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5"/>
              <w:ind w:left="55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瓶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/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袋</w:t>
            </w:r>
          </w:p>
        </w:tc>
      </w:tr>
    </w:tbl>
    <w:p>
      <w:pPr>
        <w:pStyle w:val="2"/>
        <w:spacing w:before="59"/>
        <w:ind w:left="927"/>
        <w:rPr>
          <w:rFonts w:ascii="黑体" w:hAnsi="黑体" w:eastAsia="黑体" w:cs="黑体"/>
        </w:rPr>
      </w:pPr>
      <w:r>
        <w:rPr>
          <w:rFonts w:ascii="Times New Roman" w:hAnsi="Times New Roman" w:eastAsia="Times New Roman" w:cs="Times New Roman"/>
        </w:rPr>
        <w:t>2</w:t>
      </w:r>
      <w:r>
        <w:rPr>
          <w:rFonts w:ascii="Times New Roman" w:hAnsi="Times New Roman" w:eastAsia="Times New Roman" w:cs="Times New Roman"/>
          <w:spacing w:val="76"/>
        </w:rPr>
        <w:t xml:space="preserve"> </w:t>
      </w:r>
      <w:r>
        <w:rPr>
          <w:rFonts w:ascii="黑体" w:hAnsi="黑体" w:eastAsia="黑体" w:cs="黑体"/>
        </w:rPr>
        <w:t>检验依据</w:t>
      </w:r>
    </w:p>
    <w:p>
      <w:pPr>
        <w:spacing w:before="3"/>
        <w:rPr>
          <w:rFonts w:ascii="黑体" w:hAnsi="黑体" w:eastAsia="黑体" w:cs="黑体"/>
          <w:sz w:val="3"/>
          <w:szCs w:val="3"/>
        </w:rPr>
      </w:pPr>
    </w:p>
    <w:tbl>
      <w:tblPr>
        <w:tblStyle w:val="7"/>
        <w:tblW w:w="0" w:type="auto"/>
        <w:tblInd w:w="12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3773"/>
        <w:gridCol w:w="45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exac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left="112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检验项目</w:t>
            </w:r>
          </w:p>
        </w:tc>
        <w:tc>
          <w:tcPr>
            <w:tcW w:w="4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1"/>
              <w:ind w:right="1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  <w:t>检验方法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pStyle w:val="9"/>
              <w:spacing w:before="1"/>
              <w:rPr>
                <w:rFonts w:ascii="黑体" w:hAnsi="黑体" w:eastAsia="黑体" w:cs="黑体"/>
                <w:sz w:val="29"/>
                <w:szCs w:val="29"/>
              </w:rPr>
            </w:pPr>
          </w:p>
          <w:p>
            <w:pPr>
              <w:pStyle w:val="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pStyle w:val="9"/>
              <w:spacing w:before="1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pStyle w:val="9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总活性物</w:t>
            </w:r>
          </w:p>
        </w:tc>
        <w:tc>
          <w:tcPr>
            <w:tcW w:w="4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 w:line="560" w:lineRule="exact"/>
              <w:ind w:left="1296" w:right="1294" w:firstLine="3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1224-2012 GB/T13173-2008 GB/T13173-2021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exac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ind w:right="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pH</w:t>
            </w:r>
            <w:r>
              <w:rPr>
                <w:rFonts w:ascii="Times New Roman"/>
                <w:spacing w:val="-3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a</w:t>
            </w:r>
          </w:p>
        </w:tc>
        <w:tc>
          <w:tcPr>
            <w:tcW w:w="4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 w:line="560" w:lineRule="exact"/>
              <w:ind w:left="1366" w:right="1332" w:hanging="32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10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1224-2012 GB/T6368-2008</w:t>
            </w:r>
          </w:p>
        </w:tc>
      </w:tr>
    </w:tbl>
    <w:p>
      <w:pPr>
        <w:spacing w:line="560" w:lineRule="exact"/>
        <w:rPr>
          <w:rFonts w:ascii="Times New Roman" w:hAnsi="Times New Roman" w:eastAsia="Times New Roman" w:cs="Times New Roman"/>
          <w:sz w:val="28"/>
          <w:szCs w:val="28"/>
        </w:rPr>
        <w:sectPr>
          <w:type w:val="continuous"/>
          <w:pgSz w:w="11910" w:h="16840"/>
          <w:pgMar w:top="1580" w:right="1200" w:bottom="280" w:left="1300" w:header="720" w:footer="720" w:gutter="0"/>
          <w:cols w:space="720" w:num="1"/>
        </w:sectPr>
      </w:pPr>
    </w:p>
    <w:p>
      <w:pPr>
        <w:rPr>
          <w:rFonts w:ascii="黑体" w:hAnsi="黑体" w:eastAsia="黑体" w:cs="黑体"/>
          <w:sz w:val="20"/>
          <w:szCs w:val="20"/>
        </w:rPr>
      </w:pPr>
    </w:p>
    <w:p>
      <w:pPr>
        <w:spacing w:before="3"/>
        <w:rPr>
          <w:rFonts w:ascii="黑体" w:hAnsi="黑体" w:eastAsia="黑体" w:cs="黑体"/>
          <w:sz w:val="18"/>
          <w:szCs w:val="18"/>
        </w:rPr>
      </w:pPr>
    </w:p>
    <w:tbl>
      <w:tblPr>
        <w:tblStyle w:val="7"/>
        <w:tblW w:w="0" w:type="auto"/>
        <w:tblInd w:w="10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3773"/>
        <w:gridCol w:w="45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pStyle w:val="9"/>
              <w:spacing w:before="1"/>
              <w:rPr>
                <w:rFonts w:ascii="黑体" w:hAnsi="黑体" w:eastAsia="黑体" w:cs="黑体"/>
                <w:sz w:val="29"/>
                <w:szCs w:val="29"/>
              </w:rPr>
            </w:pPr>
          </w:p>
          <w:p>
            <w:pPr>
              <w:pStyle w:val="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spacing w:before="1"/>
              <w:rPr>
                <w:rFonts w:ascii="黑体" w:hAnsi="黑体" w:eastAsia="黑体" w:cs="黑体"/>
              </w:rPr>
            </w:pPr>
          </w:p>
          <w:p>
            <w:pPr>
              <w:pStyle w:val="9"/>
              <w:ind w:left="90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总五氧化二磷</w:t>
            </w:r>
            <w:r>
              <w:rPr>
                <w:rFonts w:ascii="仿宋_GB2312" w:hAnsi="仿宋_GB2312" w:eastAsia="仿宋_GB2312" w:cs="仿宋_GB2312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b</w:t>
            </w:r>
          </w:p>
        </w:tc>
        <w:tc>
          <w:tcPr>
            <w:tcW w:w="4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 w:line="560" w:lineRule="exact"/>
              <w:ind w:left="1296" w:right="1294" w:firstLine="3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1224-2012 GB/T13173-2008 GB/T13173-2021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exact"/>
        </w:trPr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8"/>
              <w:rPr>
                <w:rFonts w:ascii="黑体" w:hAnsi="黑体" w:eastAsia="黑体" w:cs="黑体"/>
                <w:sz w:val="35"/>
                <w:szCs w:val="35"/>
              </w:rPr>
            </w:pPr>
          </w:p>
          <w:p>
            <w:pPr>
              <w:pStyle w:val="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3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0"/>
              <w:rPr>
                <w:rFonts w:ascii="黑体" w:hAnsi="黑体" w:eastAsia="黑体" w:cs="黑体"/>
                <w:sz w:val="30"/>
                <w:szCs w:val="30"/>
              </w:rPr>
            </w:pPr>
          </w:p>
          <w:p>
            <w:pPr>
              <w:pStyle w:val="9"/>
              <w:ind w:left="761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规定污布的去污力</w:t>
            </w:r>
          </w:p>
        </w:tc>
        <w:tc>
          <w:tcPr>
            <w:tcW w:w="4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" w:line="560" w:lineRule="exact"/>
              <w:ind w:left="1296" w:right="1294" w:firstLine="38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QB/T</w:t>
            </w:r>
            <w:r>
              <w:rPr>
                <w:rFonts w:ascii="Times New Roman"/>
                <w:spacing w:val="-9"/>
                <w:sz w:val="28"/>
              </w:rPr>
              <w:t xml:space="preserve"> </w:t>
            </w:r>
            <w:r>
              <w:rPr>
                <w:rFonts w:ascii="Times New Roman"/>
                <w:sz w:val="28"/>
              </w:rPr>
              <w:t>1224-2012 GB/T13174-2021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exact"/>
        </w:trPr>
        <w:tc>
          <w:tcPr>
            <w:tcW w:w="91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9"/>
              <w:spacing w:before="122"/>
              <w:ind w:left="102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注：</w:t>
            </w:r>
          </w:p>
          <w:p>
            <w:pPr>
              <w:pStyle w:val="9"/>
              <w:spacing w:before="20" w:line="560" w:lineRule="atLeast"/>
              <w:ind w:left="102" w:right="1050"/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6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结构型洗衣液的</w:t>
            </w:r>
            <w:r>
              <w:rPr>
                <w:rFonts w:ascii="仿宋_GB2312" w:hAnsi="仿宋_GB2312" w:eastAsia="仿宋_GB2312" w:cs="仿宋_GB2312"/>
                <w:spacing w:val="-73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pH</w:t>
            </w:r>
            <w:r>
              <w:rPr>
                <w:rFonts w:ascii="Times New Roman" w:hAnsi="Times New Roman" w:eastAsia="Times New Roman" w:cs="Times New Roman"/>
                <w:spacing w:val="-4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测试浓度为</w:t>
            </w:r>
            <w:r>
              <w:rPr>
                <w:rFonts w:ascii="仿宋_GB2312" w:hAnsi="仿宋_GB2312" w:eastAsia="仿宋_GB2312" w:cs="仿宋_GB2312"/>
                <w:spacing w:val="-75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0.1%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水溶液，其余为</w:t>
            </w:r>
            <w:r>
              <w:rPr>
                <w:rFonts w:ascii="仿宋_GB2312" w:hAnsi="仿宋_GB2312" w:eastAsia="仿宋_GB2312" w:cs="仿宋_GB2312"/>
                <w:spacing w:val="-73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1%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 xml:space="preserve">水溶液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5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8"/>
                <w:szCs w:val="28"/>
                <w:lang w:eastAsia="zh-CN"/>
              </w:rPr>
              <w:t>仅对标注无磷产品要求</w:t>
            </w:r>
          </w:p>
        </w:tc>
      </w:tr>
    </w:tbl>
    <w:p>
      <w:pPr>
        <w:spacing w:before="3"/>
        <w:rPr>
          <w:rFonts w:ascii="黑体" w:hAnsi="黑体" w:eastAsia="黑体" w:cs="黑体"/>
          <w:sz w:val="8"/>
          <w:szCs w:val="8"/>
          <w:lang w:eastAsia="zh-CN"/>
        </w:rPr>
      </w:pPr>
    </w:p>
    <w:p>
      <w:pPr>
        <w:spacing w:before="14" w:line="357" w:lineRule="auto"/>
        <w:ind w:left="266" w:right="271" w:firstLine="561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仿宋_GB2312" w:hAnsi="仿宋_GB2312" w:eastAsia="仿宋_GB2312" w:cs="仿宋_GB2312"/>
          <w:spacing w:val="-4"/>
          <w:sz w:val="28"/>
          <w:szCs w:val="28"/>
          <w:lang w:eastAsia="zh-CN"/>
        </w:rPr>
        <w:t>备注：</w:t>
      </w: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zh-CN"/>
        </w:rPr>
        <w:t>1.</w:t>
      </w:r>
      <w:r>
        <w:rPr>
          <w:rFonts w:ascii="仿宋_GB2312" w:hAnsi="仿宋_GB2312" w:eastAsia="仿宋_GB2312" w:cs="仿宋_GB2312"/>
          <w:spacing w:val="-4"/>
          <w:sz w:val="28"/>
          <w:szCs w:val="28"/>
          <w:lang w:eastAsia="zh-CN"/>
        </w:rPr>
        <w:t>若被检产品明示标准的质量要求缺少检验依据中推荐性标准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pacing w:val="-6"/>
          <w:sz w:val="28"/>
          <w:szCs w:val="28"/>
          <w:lang w:eastAsia="zh-CN"/>
        </w:rPr>
        <w:t>要求，或检测方法非国标和行标时，则该项目按照检验依据中所示国标或</w:t>
      </w:r>
      <w:r>
        <w:rPr>
          <w:rFonts w:ascii="仿宋_GB2312" w:hAnsi="仿宋_GB2312" w:eastAsia="仿宋_GB2312" w:cs="仿宋_GB2312"/>
          <w:spacing w:val="-8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行标进行检测，出具实测值且不参与判定（强制性项目除外）。</w:t>
      </w:r>
    </w:p>
    <w:p>
      <w:pPr>
        <w:spacing w:before="55" w:line="345" w:lineRule="auto"/>
        <w:ind w:left="266" w:right="271" w:firstLine="561"/>
        <w:jc w:val="both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-4"/>
          <w:sz w:val="28"/>
          <w:szCs w:val="28"/>
          <w:lang w:eastAsia="zh-CN"/>
        </w:rPr>
        <w:t>2.</w:t>
      </w:r>
      <w:r>
        <w:rPr>
          <w:rFonts w:ascii="仿宋_GB2312" w:hAnsi="仿宋_GB2312" w:eastAsia="仿宋_GB2312" w:cs="仿宋_GB2312"/>
          <w:spacing w:val="-4"/>
          <w:sz w:val="28"/>
          <w:szCs w:val="28"/>
          <w:lang w:eastAsia="zh-CN"/>
        </w:rPr>
        <w:t>现行有效标准，当商品名或使用说明中表明适用于多种织物，并具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 xml:space="preserve"> 有一种以上产品特性时，以标准要求高的指标来进行判定。</w:t>
      </w:r>
    </w:p>
    <w:p>
      <w:pPr>
        <w:spacing w:before="72"/>
        <w:ind w:left="828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</w:t>
      </w:r>
      <w:r>
        <w:rPr>
          <w:rFonts w:ascii="Times New Roman" w:hAnsi="Times New Roman" w:eastAsia="Times New Roman" w:cs="Times New Roman"/>
          <w:spacing w:val="-33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若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被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检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产</w:t>
      </w:r>
      <w:r>
        <w:rPr>
          <w:rFonts w:ascii="仿宋_GB2312" w:hAnsi="仿宋_GB2312" w:eastAsia="仿宋_GB2312" w:cs="仿宋_GB2312"/>
          <w:spacing w:val="-105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品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明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示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标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准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规</w:t>
      </w:r>
      <w:r>
        <w:rPr>
          <w:rFonts w:ascii="仿宋_GB2312" w:hAnsi="仿宋_GB2312" w:eastAsia="仿宋_GB2312" w:cs="仿宋_GB2312"/>
          <w:spacing w:val="-105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定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污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布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的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去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污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力</w:t>
      </w:r>
      <w:r>
        <w:rPr>
          <w:rFonts w:ascii="仿宋_GB2312" w:hAnsi="仿宋_GB2312" w:eastAsia="仿宋_GB2312" w:cs="仿宋_GB2312"/>
          <w:spacing w:val="-105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的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检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测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依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据</w:t>
      </w:r>
      <w:r>
        <w:rPr>
          <w:rFonts w:ascii="仿宋_GB2312" w:hAnsi="仿宋_GB2312" w:eastAsia="仿宋_GB2312" w:cs="仿宋_GB2312"/>
          <w:spacing w:val="-102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为</w:t>
      </w:r>
      <w:r>
        <w:rPr>
          <w:rFonts w:ascii="仿宋_GB2312" w:hAnsi="仿宋_GB2312" w:eastAsia="仿宋_GB2312" w:cs="仿宋_GB2312"/>
          <w:spacing w:val="-30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GB/T</w:t>
      </w:r>
    </w:p>
    <w:p>
      <w:pPr>
        <w:spacing w:before="171" w:line="348" w:lineRule="auto"/>
        <w:ind w:left="266"/>
        <w:rPr>
          <w:rFonts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13174-2008 </w:t>
      </w:r>
      <w:r>
        <w:rPr>
          <w:rFonts w:ascii="仿宋_GB2312" w:hAnsi="仿宋_GB2312" w:eastAsia="仿宋_GB2312" w:cs="仿宋_GB2312"/>
          <w:spacing w:val="-8"/>
          <w:sz w:val="28"/>
          <w:szCs w:val="28"/>
          <w:lang w:eastAsia="zh-CN"/>
        </w:rPr>
        <w:t>或更早的标准版本时，该项目按照</w:t>
      </w:r>
      <w:r>
        <w:rPr>
          <w:rFonts w:ascii="仿宋_GB2312" w:hAnsi="仿宋_GB2312" w:eastAsia="仿宋_GB2312" w:cs="仿宋_GB2312"/>
          <w:spacing w:val="-71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GB/T</w:t>
      </w:r>
      <w:r>
        <w:rPr>
          <w:rFonts w:ascii="Times New Roman" w:hAnsi="Times New Roman" w:eastAsia="Times New Roman" w:cs="Times New Roman"/>
          <w:spacing w:val="-5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13174-2021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标准进行</w:t>
      </w:r>
      <w:r>
        <w:rPr>
          <w:rFonts w:ascii="仿宋_GB2312" w:hAnsi="仿宋_GB2312" w:eastAsia="仿宋_GB2312" w:cs="仿宋_GB2312"/>
          <w:spacing w:val="-135"/>
          <w:sz w:val="28"/>
          <w:szCs w:val="28"/>
          <w:lang w:eastAsia="zh-CN"/>
        </w:rPr>
        <w:t xml:space="preserve"> 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检测，测试浓度明示标准有要求的从其规定，否则参考</w:t>
      </w:r>
      <w:r>
        <w:rPr>
          <w:rFonts w:ascii="仿宋_GB2312" w:hAnsi="仿宋_GB2312" w:eastAsia="仿宋_GB2312" w:cs="仿宋_GB2312"/>
          <w:spacing w:val="-79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QB/T</w:t>
      </w:r>
      <w:r>
        <w:rPr>
          <w:rFonts w:ascii="Times New Roman" w:hAnsi="Times New Roman" w:eastAsia="Times New Roman" w:cs="Times New Roman"/>
          <w:spacing w:val="-16"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1224-2012</w:t>
      </w:r>
      <w:r>
        <w:rPr>
          <w:rFonts w:ascii="仿宋_GB2312" w:hAnsi="仿宋_GB2312" w:eastAsia="仿宋_GB2312" w:cs="仿宋_GB2312"/>
          <w:sz w:val="28"/>
          <w:szCs w:val="28"/>
          <w:lang w:eastAsia="zh-CN"/>
        </w:rPr>
        <w:t>， 出具实测值且不参与判定（强制性项目除外）。</w:t>
      </w:r>
    </w:p>
    <w:p>
      <w:pPr>
        <w:pStyle w:val="2"/>
        <w:spacing w:before="20" w:line="321" w:lineRule="auto"/>
        <w:ind w:left="266" w:right="271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执行企业标准、团体标准、地方标准的产品，检验项目参照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上述内容执行。</w:t>
      </w:r>
    </w:p>
    <w:p>
      <w:pPr>
        <w:pStyle w:val="2"/>
        <w:spacing w:before="34" w:line="321" w:lineRule="auto"/>
        <w:ind w:left="266" w:right="273" w:firstLine="640"/>
        <w:jc w:val="both"/>
        <w:rPr>
          <w:lang w:eastAsia="zh-CN"/>
        </w:rPr>
      </w:pPr>
      <w:r>
        <w:rPr>
          <w:spacing w:val="-4"/>
          <w:w w:val="95"/>
          <w:lang w:eastAsia="zh-CN"/>
        </w:rPr>
        <w:t>凡是注日期的文件，其随后所有的修改单（不包括勘误的内</w:t>
      </w:r>
      <w:r>
        <w:rPr>
          <w:w w:val="99"/>
          <w:lang w:eastAsia="zh-CN"/>
        </w:rPr>
        <w:t xml:space="preserve"> </w:t>
      </w:r>
      <w:r>
        <w:rPr>
          <w:spacing w:val="-4"/>
          <w:w w:val="95"/>
          <w:lang w:eastAsia="zh-CN"/>
        </w:rPr>
        <w:t>容）或修订版不适用于本细则。凡是不注日期的文件，其最新版</w:t>
      </w:r>
      <w:r>
        <w:rPr>
          <w:spacing w:val="133"/>
          <w:w w:val="95"/>
          <w:lang w:eastAsia="zh-CN"/>
        </w:rPr>
        <w:t xml:space="preserve"> </w:t>
      </w:r>
      <w:r>
        <w:rPr>
          <w:lang w:eastAsia="zh-CN"/>
        </w:rPr>
        <w:t>本适用于本细则。</w:t>
      </w:r>
    </w:p>
    <w:p>
      <w:pPr>
        <w:pStyle w:val="2"/>
        <w:spacing w:before="34"/>
        <w:ind w:left="907"/>
        <w:rPr>
          <w:rFonts w:ascii="黑体" w:hAnsi="黑体" w:eastAsia="黑体" w:cs="黑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</w:t>
      </w:r>
      <w:r>
        <w:rPr>
          <w:rFonts w:ascii="Times New Roman" w:hAnsi="Times New Roman" w:eastAsia="Times New Roman" w:cs="Times New Roman"/>
          <w:spacing w:val="76"/>
          <w:lang w:eastAsia="zh-CN"/>
        </w:rPr>
        <w:t xml:space="preserve"> </w:t>
      </w:r>
      <w:r>
        <w:rPr>
          <w:rFonts w:ascii="黑体" w:hAnsi="黑体" w:eastAsia="黑体" w:cs="黑体"/>
          <w:lang w:eastAsia="zh-CN"/>
        </w:rPr>
        <w:t>判定规则</w:t>
      </w:r>
    </w:p>
    <w:p>
      <w:pPr>
        <w:rPr>
          <w:rFonts w:ascii="黑体" w:hAnsi="黑体" w:eastAsia="黑体" w:cs="黑体"/>
          <w:lang w:eastAsia="zh-CN"/>
        </w:rPr>
        <w:sectPr>
          <w:pgSz w:w="11910" w:h="16840"/>
          <w:pgMar w:top="1580" w:right="1200" w:bottom="280" w:left="1320" w:header="720" w:footer="720" w:gutter="0"/>
          <w:cols w:space="720" w:num="1"/>
        </w:sectPr>
      </w:pPr>
    </w:p>
    <w:p>
      <w:pPr>
        <w:rPr>
          <w:rFonts w:ascii="黑体" w:hAnsi="黑体" w:eastAsia="黑体" w:cs="黑体"/>
          <w:sz w:val="20"/>
          <w:szCs w:val="20"/>
          <w:lang w:eastAsia="zh-CN"/>
        </w:rPr>
      </w:pPr>
    </w:p>
    <w:p>
      <w:pPr>
        <w:spacing w:before="13"/>
        <w:rPr>
          <w:rFonts w:ascii="黑体" w:hAnsi="黑体" w:eastAsia="黑体" w:cs="黑体"/>
          <w:sz w:val="23"/>
          <w:szCs w:val="23"/>
          <w:lang w:eastAsia="zh-CN"/>
        </w:rPr>
      </w:pPr>
    </w:p>
    <w:p>
      <w:pPr>
        <w:pStyle w:val="2"/>
        <w:spacing w:before="0"/>
        <w:ind w:left="747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3.1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依据标准</w:t>
      </w:r>
    </w:p>
    <w:p>
      <w:pPr>
        <w:pStyle w:val="2"/>
        <w:spacing w:before="116" w:line="302" w:lineRule="auto"/>
        <w:ind w:left="747"/>
        <w:rPr>
          <w:w w:val="99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QB/T</w:t>
      </w:r>
      <w:r>
        <w:rPr>
          <w:rFonts w:ascii="Times New Roman" w:hAnsi="Times New Roman" w:eastAsia="Times New Roman" w:cs="Times New Roman"/>
          <w:spacing w:val="-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1224-2012</w:t>
      </w:r>
      <w:r>
        <w:rPr>
          <w:lang w:eastAsia="zh-CN"/>
        </w:rPr>
        <w:t>《衣料用液体洗涤剂》</w:t>
      </w:r>
      <w:r>
        <w:rPr>
          <w:w w:val="99"/>
          <w:lang w:eastAsia="zh-CN"/>
        </w:rPr>
        <w:t xml:space="preserve"> </w:t>
      </w:r>
    </w:p>
    <w:p>
      <w:pPr>
        <w:pStyle w:val="2"/>
        <w:spacing w:before="116" w:line="302" w:lineRule="auto"/>
        <w:ind w:left="747"/>
        <w:rPr>
          <w:lang w:eastAsia="zh-CN"/>
        </w:rPr>
      </w:pPr>
      <w:bookmarkStart w:id="0" w:name="_GoBack"/>
      <w:bookmarkEnd w:id="0"/>
      <w:r>
        <w:rPr>
          <w:spacing w:val="-4"/>
          <w:w w:val="95"/>
          <w:lang w:eastAsia="zh-CN"/>
        </w:rPr>
        <w:t>现行有效的企业标准、团体标准、地方标准及产品明示质量</w:t>
      </w:r>
    </w:p>
    <w:p>
      <w:pPr>
        <w:pStyle w:val="2"/>
        <w:spacing w:before="59"/>
        <w:rPr>
          <w:lang w:eastAsia="zh-CN"/>
        </w:rPr>
      </w:pPr>
      <w:r>
        <w:rPr>
          <w:lang w:eastAsia="zh-CN"/>
        </w:rPr>
        <w:t>要求</w:t>
      </w:r>
    </w:p>
    <w:p>
      <w:pPr>
        <w:pStyle w:val="2"/>
        <w:spacing w:before="140"/>
        <w:ind w:left="747"/>
        <w:rPr>
          <w:rFonts w:ascii="楷体" w:hAnsi="楷体" w:eastAsia="楷体" w:cs="楷体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3.2</w:t>
      </w:r>
      <w:r>
        <w:rPr>
          <w:rFonts w:ascii="Times New Roman" w:hAnsi="Times New Roman" w:eastAsia="Times New Roman" w:cs="Times New Roman"/>
          <w:spacing w:val="75"/>
          <w:lang w:eastAsia="zh-CN"/>
        </w:rPr>
        <w:t xml:space="preserve"> </w:t>
      </w:r>
      <w:r>
        <w:rPr>
          <w:rFonts w:ascii="楷体" w:hAnsi="楷体" w:eastAsia="楷体" w:cs="楷体"/>
          <w:lang w:eastAsia="zh-CN"/>
        </w:rPr>
        <w:t>判定原则</w:t>
      </w:r>
    </w:p>
    <w:p>
      <w:pPr>
        <w:pStyle w:val="2"/>
        <w:spacing w:before="116"/>
        <w:ind w:left="747"/>
        <w:rPr>
          <w:lang w:eastAsia="zh-CN"/>
        </w:rPr>
      </w:pPr>
      <w:r>
        <w:rPr>
          <w:spacing w:val="-4"/>
          <w:lang w:eastAsia="zh-CN"/>
        </w:rPr>
        <w:t>经检验，检验项目全部合格，判定为被抽查产品所检项目未</w:t>
      </w:r>
    </w:p>
    <w:p>
      <w:pPr>
        <w:spacing w:before="12"/>
        <w:rPr>
          <w:rFonts w:ascii="仿宋_GB2312" w:hAnsi="仿宋_GB2312" w:eastAsia="仿宋_GB2312" w:cs="仿宋_GB2312"/>
          <w:sz w:val="10"/>
          <w:szCs w:val="10"/>
          <w:lang w:eastAsia="zh-CN"/>
        </w:rPr>
      </w:pPr>
    </w:p>
    <w:p>
      <w:pPr>
        <w:pStyle w:val="2"/>
        <w:spacing w:before="0" w:line="321" w:lineRule="auto"/>
        <w:rPr>
          <w:lang w:eastAsia="zh-CN"/>
        </w:rPr>
      </w:pPr>
      <w:r>
        <w:rPr>
          <w:spacing w:val="-4"/>
          <w:w w:val="95"/>
          <w:lang w:eastAsia="zh-CN"/>
        </w:rPr>
        <w:t>发现不合格；检验项目中任一项或一项以上不合格，判定为被抽</w:t>
      </w:r>
      <w:r>
        <w:rPr>
          <w:spacing w:val="134"/>
          <w:w w:val="95"/>
          <w:lang w:eastAsia="zh-CN"/>
        </w:rPr>
        <w:t xml:space="preserve"> </w:t>
      </w:r>
      <w:r>
        <w:rPr>
          <w:lang w:eastAsia="zh-CN"/>
        </w:rPr>
        <w:t>查产品不合格。</w:t>
      </w:r>
    </w:p>
    <w:p>
      <w:pPr>
        <w:pStyle w:val="2"/>
        <w:spacing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若被检产品明示的质量要求高于本细则中检验项目依据的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标准要求时，应按被检产品明示的质量要求判定。</w:t>
      </w:r>
    </w:p>
    <w:p>
      <w:pPr>
        <w:pStyle w:val="2"/>
        <w:spacing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before="34"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若被检产品明示的质量要求低于或包含本细则中检验项目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依据的推荐性标准要求时，应以被检产品明示的质量要求判定。</w:t>
      </w:r>
    </w:p>
    <w:p>
      <w:pPr>
        <w:pStyle w:val="2"/>
        <w:spacing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强制性标准要求时，应按照强制性标准要求判定。</w:t>
      </w:r>
    </w:p>
    <w:p>
      <w:pPr>
        <w:pStyle w:val="2"/>
        <w:spacing w:line="321" w:lineRule="auto"/>
        <w:ind w:firstLine="640"/>
        <w:rPr>
          <w:lang w:eastAsia="zh-CN"/>
        </w:rPr>
      </w:pPr>
      <w:r>
        <w:rPr>
          <w:spacing w:val="8"/>
          <w:lang w:eastAsia="zh-CN"/>
        </w:rPr>
        <w:t>若被检产品明示的质量要求缺少本细则中检验项目依据的</w:t>
      </w:r>
      <w:r>
        <w:rPr>
          <w:w w:val="99"/>
          <w:lang w:eastAsia="zh-CN"/>
        </w:rPr>
        <w:t xml:space="preserve"> </w:t>
      </w:r>
      <w:r>
        <w:rPr>
          <w:lang w:eastAsia="zh-CN"/>
        </w:rPr>
        <w:t>推荐性标准要求时，该项目不参与判定。</w:t>
      </w:r>
    </w:p>
    <w:sectPr>
      <w:pgSz w:w="11910" w:h="16840"/>
      <w:pgMar w:top="1580" w:right="1260" w:bottom="280" w:left="14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A17455"/>
    <w:rsid w:val="004A6337"/>
    <w:rsid w:val="007156AB"/>
    <w:rsid w:val="00A17455"/>
    <w:rsid w:val="FDD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1"/>
      <w:ind w:left="106"/>
    </w:pPr>
    <w:rPr>
      <w:rFonts w:ascii="仿宋_GB2312" w:hAnsi="仿宋_GB2312" w:eastAsia="仿宋_GB2312"/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194</Words>
  <Characters>1108</Characters>
  <Lines>9</Lines>
  <Paragraphs>2</Paragraphs>
  <TotalTime>5</TotalTime>
  <ScaleCrop>false</ScaleCrop>
  <LinksUpToDate>false</LinksUpToDate>
  <CharactersWithSpaces>1300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2025-09-09T00:06:00Z</dcterms:created>
  <dc:creator>1+7</dc:creator>
  <cp:lastModifiedBy>user</cp:lastModifiedBy>
  <dcterms:modified xsi:type="dcterms:W3CDTF">2025-09-24T16:24:27Z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2025-09-08T00:00:00Z</vt:filetime>
  </property>
  <property fmtid="{D5CDD505-2E9C-101B-9397-08002B2CF9AE}" pid="5" name="KSOProductBuildVer">
    <vt:lpwstr>2052-11.8.2.10422</vt:lpwstr>
  </property>
</Properties>
</file>