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34"/>
          <w:szCs w:val="34"/>
          <w:lang w:eastAsia="zh-CN"/>
        </w:rPr>
      </w:pPr>
    </w:p>
    <w:p>
      <w:pPr>
        <w:spacing w:before="210" w:line="560" w:lineRule="exact"/>
        <w:ind w:left="868" w:right="853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东莞市</w:t>
      </w:r>
      <w:r>
        <w:rPr>
          <w:rFonts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车用汽油清净剂产品质量监督抽查</w:t>
      </w:r>
      <w:r>
        <w:rPr>
          <w:rFonts w:ascii="方正小标宋简体" w:hAnsi="方正小标宋简体" w:eastAsia="方正小标宋简体" w:cs="方正小标宋简体"/>
          <w:spacing w:val="69"/>
          <w:w w:val="95"/>
          <w:sz w:val="44"/>
          <w:szCs w:val="44"/>
          <w:lang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实施细则</w:t>
      </w:r>
    </w:p>
    <w:p>
      <w:pPr>
        <w:pStyle w:val="2"/>
        <w:spacing w:before="76"/>
        <w:ind w:left="863" w:right="853"/>
        <w:jc w:val="center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rPr>
          <w:rFonts w:ascii="楷体" w:hAnsi="楷体" w:eastAsia="楷体" w:cs="楷体"/>
          <w:sz w:val="20"/>
          <w:szCs w:val="20"/>
          <w:lang w:eastAsia="zh-CN"/>
        </w:rPr>
      </w:pPr>
    </w:p>
    <w:p>
      <w:pPr>
        <w:pStyle w:val="2"/>
        <w:spacing w:before="154"/>
        <w:ind w:left="867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</w:p>
    <w:p>
      <w:pPr>
        <w:pStyle w:val="2"/>
        <w:spacing w:before="116"/>
        <w:ind w:left="867"/>
        <w:rPr>
          <w:lang w:eastAsia="zh-CN"/>
        </w:rPr>
      </w:pPr>
      <w:r>
        <w:rPr>
          <w:spacing w:val="-4"/>
          <w:lang w:eastAsia="zh-CN"/>
        </w:rPr>
        <w:t>以随机抽样的方式在被抽样生产者、销售者的待销产品中抽</w:t>
      </w:r>
    </w:p>
    <w:p>
      <w:pPr>
        <w:pStyle w:val="2"/>
        <w:spacing w:before="140"/>
        <w:rPr>
          <w:lang w:eastAsia="zh-CN"/>
        </w:rPr>
      </w:pPr>
      <w:r>
        <w:rPr>
          <w:lang w:eastAsia="zh-CN"/>
        </w:rPr>
        <w:t>取。</w:t>
      </w:r>
    </w:p>
    <w:p>
      <w:pPr>
        <w:pStyle w:val="2"/>
        <w:spacing w:before="143" w:line="321" w:lineRule="auto"/>
        <w:ind w:left="867"/>
        <w:rPr>
          <w:lang w:eastAsia="zh-CN"/>
        </w:rPr>
      </w:pPr>
      <w:r>
        <w:rPr>
          <w:lang w:eastAsia="zh-CN"/>
        </w:rPr>
        <w:t>随机数一般可使用随机数表等方法产生</w:t>
      </w:r>
      <w:r>
        <w:rPr>
          <w:rFonts w:hint="eastAsia"/>
          <w:lang w:eastAsia="zh-CN"/>
        </w:rPr>
        <w:t>。</w:t>
      </w:r>
      <w:r>
        <w:rPr>
          <w:spacing w:val="-5"/>
          <w:lang w:eastAsia="zh-CN"/>
        </w:rPr>
        <w:t>每批次产品抽取</w:t>
      </w:r>
      <w:r>
        <w:rPr>
          <w:rFonts w:hint="eastAsia"/>
          <w:lang w:eastAsia="zh-CN"/>
        </w:rPr>
        <w:t>两</w:t>
      </w:r>
    </w:p>
    <w:p>
      <w:pPr>
        <w:pStyle w:val="2"/>
        <w:spacing w:line="439" w:lineRule="exact"/>
        <w:rPr>
          <w:spacing w:val="-4"/>
          <w:w w:val="95"/>
          <w:lang w:eastAsia="zh-CN"/>
        </w:rPr>
      </w:pPr>
      <w:r>
        <w:rPr>
          <w:rFonts w:hint="eastAsia"/>
          <w:lang w:eastAsia="zh-CN"/>
        </w:rPr>
        <w:t>份</w:t>
      </w:r>
      <w:r>
        <w:rPr>
          <w:rFonts w:hint="eastAsia"/>
          <w:spacing w:val="-4"/>
          <w:w w:val="95"/>
          <w:lang w:eastAsia="zh-CN"/>
        </w:rPr>
        <w:t>，每份不少于</w:t>
      </w:r>
      <w:r>
        <w:rPr>
          <w:spacing w:val="-4"/>
          <w:w w:val="95"/>
          <w:lang w:eastAsia="zh-CN"/>
        </w:rPr>
        <w:t>350mL</w:t>
      </w:r>
      <w:r>
        <w:rPr>
          <w:rFonts w:hint="eastAsia"/>
          <w:spacing w:val="-4"/>
          <w:w w:val="95"/>
          <w:lang w:eastAsia="zh-CN"/>
        </w:rPr>
        <w:t>，其中</w:t>
      </w:r>
      <w:r>
        <w:rPr>
          <w:rFonts w:hint="eastAsia"/>
          <w:spacing w:val="-4"/>
          <w:w w:val="95"/>
          <w:lang w:val="en-US" w:eastAsia="zh-CN"/>
        </w:rPr>
        <w:t>1份作</w:t>
      </w:r>
      <w:r>
        <w:rPr>
          <w:rFonts w:hint="eastAsia"/>
          <w:spacing w:val="-4"/>
          <w:w w:val="95"/>
          <w:lang w:eastAsia="zh-CN"/>
        </w:rPr>
        <w:t>为检</w:t>
      </w:r>
      <w:r>
        <w:rPr>
          <w:spacing w:val="-4"/>
          <w:w w:val="95"/>
          <w:lang w:eastAsia="zh-CN"/>
        </w:rPr>
        <w:t>验样品，1 份作为备用样品。</w:t>
      </w:r>
    </w:p>
    <w:p>
      <w:pPr>
        <w:pStyle w:val="2"/>
        <w:spacing w:line="439" w:lineRule="exact"/>
        <w:rPr>
          <w:spacing w:val="-4"/>
          <w:w w:val="95"/>
          <w:lang w:eastAsia="zh-CN"/>
        </w:rPr>
      </w:pPr>
      <w:bookmarkStart w:id="0" w:name="_GoBack"/>
      <w:bookmarkEnd w:id="0"/>
    </w:p>
    <w:p>
      <w:pPr>
        <w:pStyle w:val="2"/>
        <w:spacing w:before="118"/>
        <w:ind w:left="867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spacing w:before="2"/>
        <w:rPr>
          <w:rFonts w:ascii="黑体" w:hAnsi="黑体" w:eastAsia="黑体" w:cs="黑体"/>
          <w:sz w:val="3"/>
          <w:szCs w:val="3"/>
        </w:rPr>
      </w:pPr>
    </w:p>
    <w:tbl>
      <w:tblPr>
        <w:tblStyle w:val="7"/>
        <w:tblW w:w="0" w:type="auto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3119"/>
        <w:gridCol w:w="4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455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99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倾点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17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3535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71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闪点（闭口）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24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261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spacing w:before="5"/>
              <w:rPr>
                <w:rFonts w:ascii="黑体" w:hAnsi="黑体" w:eastAsia="黑体" w:cs="黑体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spacing w:before="230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硫含量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0689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2000</w:t>
            </w:r>
          </w:p>
          <w:p>
            <w:pPr>
              <w:pStyle w:val="9"/>
              <w:spacing w:before="171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NB/SH/T</w:t>
            </w:r>
            <w:r>
              <w:rPr>
                <w:rFonts w:ascii="Times New Roman" w:hAnsi="Times New Roman" w:eastAsia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0253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2021</w:t>
            </w:r>
          </w:p>
          <w:p>
            <w:pPr>
              <w:pStyle w:val="9"/>
              <w:spacing w:before="171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11140</w:t>
            </w:r>
            <w:r>
              <w:rPr>
                <w:rFonts w:ascii="仿宋_GB2312" w:hAnsi="仿宋_GB2312" w:eastAsia="仿宋_GB2312" w:cs="仿宋_GB2312"/>
                <w:spacing w:val="-4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</w:rPr>
              <w:t>2008</w:t>
            </w:r>
          </w:p>
          <w:p>
            <w:pPr>
              <w:pStyle w:val="9"/>
              <w:spacing w:before="174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NB/SH/T</w:t>
            </w:r>
            <w:r>
              <w:rPr>
                <w:rFonts w:ascii="Times New Roman" w:hAnsi="Times New Roman" w:eastAsia="Times New Roman" w:cs="Times New Roman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0842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氯含量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SH/T</w:t>
            </w:r>
            <w:r>
              <w:rPr>
                <w:rFonts w:ascii="Times New Roman" w:hAnsi="Times New Roman" w:eastAsia="Times New Roman" w:cs="Times New Roman"/>
                <w:spacing w:val="-12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1757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2006</w:t>
            </w:r>
          </w:p>
          <w:p>
            <w:pPr>
              <w:pStyle w:val="9"/>
              <w:spacing w:before="174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ASTM</w:t>
            </w:r>
            <w:r>
              <w:rPr>
                <w:rFonts w:ascii="Times New Roman" w:hAnsi="Times New Roman" w:eastAsia="Times New Roman" w:cs="Times New Roman"/>
                <w:spacing w:val="-8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D7536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7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536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防锈性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锈蚀程度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99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19230.1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2003</w:t>
            </w:r>
          </w:p>
        </w:tc>
      </w:tr>
    </w:tbl>
    <w:p>
      <w:pPr>
        <w:rPr>
          <w:rFonts w:ascii="Times New Roman" w:hAnsi="Times New Roman" w:eastAsia="Times New Roman" w:cs="Times New Roman"/>
          <w:sz w:val="28"/>
          <w:szCs w:val="28"/>
        </w:rPr>
        <w:sectPr>
          <w:type w:val="continuous"/>
          <w:pgSz w:w="11910" w:h="16840"/>
          <w:pgMar w:top="1580" w:right="1260" w:bottom="280" w:left="1360" w:header="720" w:footer="720" w:gutter="0"/>
          <w:cols w:space="720" w:num="1"/>
        </w:sectPr>
      </w:pPr>
    </w:p>
    <w:p>
      <w:pPr>
        <w:rPr>
          <w:rFonts w:ascii="黑体" w:hAnsi="黑体" w:eastAsia="黑体" w:cs="黑体"/>
          <w:sz w:val="20"/>
          <w:szCs w:val="20"/>
        </w:rPr>
      </w:pPr>
    </w:p>
    <w:p>
      <w:pPr>
        <w:spacing w:before="3"/>
        <w:rPr>
          <w:rFonts w:ascii="黑体" w:hAnsi="黑体" w:eastAsia="黑体" w:cs="黑体"/>
          <w:sz w:val="18"/>
          <w:szCs w:val="18"/>
        </w:rPr>
      </w:pPr>
    </w:p>
    <w:tbl>
      <w:tblPr>
        <w:tblStyle w:val="7"/>
        <w:tblW w:w="0" w:type="auto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4"/>
        <w:gridCol w:w="3119"/>
        <w:gridCol w:w="4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6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破乳性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995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19230.2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86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7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54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模拟进气阀沉积物质量</w:t>
            </w:r>
          </w:p>
        </w:tc>
        <w:tc>
          <w:tcPr>
            <w:tcW w:w="4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101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GB/T</w:t>
            </w:r>
            <w:r>
              <w:rPr>
                <w:rFonts w:ascii="Times New Roman" w:hAnsi="Times New Roman" w:eastAsia="Times New Roman" w:cs="Times New Roman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37322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—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2019</w:t>
            </w:r>
          </w:p>
        </w:tc>
      </w:tr>
    </w:tbl>
    <w:p>
      <w:pPr>
        <w:spacing w:before="10"/>
        <w:rPr>
          <w:rFonts w:ascii="黑体" w:hAnsi="黑体" w:eastAsia="黑体" w:cs="黑体"/>
          <w:sz w:val="5"/>
          <w:szCs w:val="5"/>
        </w:rPr>
      </w:pPr>
    </w:p>
    <w:p>
      <w:pPr>
        <w:pStyle w:val="2"/>
        <w:spacing w:line="321" w:lineRule="auto"/>
        <w:ind w:right="21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4" w:line="321" w:lineRule="auto"/>
        <w:ind w:right="21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4"/>
        <w:ind w:left="867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pStyle w:val="2"/>
        <w:spacing w:before="116"/>
        <w:ind w:left="86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spacing w:before="116" w:line="304" w:lineRule="auto"/>
        <w:ind w:left="867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GB 19592</w:t>
      </w:r>
      <w:r>
        <w:rPr>
          <w:lang w:eastAsia="zh-CN"/>
        </w:rPr>
        <w:t>—</w:t>
      </w:r>
      <w:r>
        <w:rPr>
          <w:rFonts w:ascii="Times New Roman" w:hAnsi="Times New Roman" w:eastAsia="Times New Roman" w:cs="Times New Roman"/>
          <w:lang w:eastAsia="zh-CN"/>
        </w:rPr>
        <w:t>2019</w:t>
      </w:r>
      <w:r>
        <w:rPr>
          <w:rFonts w:ascii="Times New Roman" w:hAnsi="Times New Roman" w:eastAsia="Times New Roman" w:cs="Times New Roman"/>
          <w:spacing w:val="78"/>
          <w:lang w:eastAsia="zh-CN"/>
        </w:rPr>
        <w:t xml:space="preserve"> </w:t>
      </w:r>
      <w:r>
        <w:rPr>
          <w:lang w:eastAsia="zh-CN"/>
        </w:rPr>
        <w:t>车用汽油清净剂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现行有效的企业标准、团体标准、地方标准及产品明示质量</w:t>
      </w:r>
    </w:p>
    <w:p>
      <w:pPr>
        <w:pStyle w:val="2"/>
        <w:spacing w:before="54"/>
        <w:rPr>
          <w:lang w:eastAsia="zh-CN"/>
        </w:rPr>
      </w:pPr>
      <w:r>
        <w:rPr>
          <w:lang w:eastAsia="zh-CN"/>
        </w:rPr>
        <w:t>要求</w:t>
      </w:r>
    </w:p>
    <w:p>
      <w:pPr>
        <w:pStyle w:val="2"/>
        <w:spacing w:before="140"/>
        <w:ind w:left="86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8"/>
        <w:ind w:left="867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spacing w:before="9"/>
        <w:rPr>
          <w:rFonts w:ascii="仿宋_GB2312" w:hAnsi="仿宋_GB2312" w:eastAsia="仿宋_GB2312" w:cs="仿宋_GB2312"/>
          <w:sz w:val="10"/>
          <w:szCs w:val="10"/>
          <w:lang w:eastAsia="zh-CN"/>
        </w:rPr>
      </w:pPr>
    </w:p>
    <w:p>
      <w:pPr>
        <w:pStyle w:val="2"/>
        <w:spacing w:line="321" w:lineRule="auto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before="34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1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before="34"/>
        <w:ind w:left="867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</w:p>
    <w:p>
      <w:pPr>
        <w:rPr>
          <w:lang w:eastAsia="zh-CN"/>
        </w:rPr>
        <w:sectPr>
          <w:pgSz w:w="11910" w:h="16840"/>
          <w:pgMar w:top="1580" w:right="1260" w:bottom="280" w:left="1360" w:header="720" w:footer="720" w:gutter="0"/>
          <w:cols w:space="720" w:num="1"/>
        </w:sectPr>
      </w:pPr>
    </w:p>
    <w:p>
      <w:pPr>
        <w:rPr>
          <w:rFonts w:ascii="仿宋_GB2312" w:hAnsi="仿宋_GB2312" w:eastAsia="仿宋_GB2312" w:cs="仿宋_GB2312"/>
          <w:sz w:val="20"/>
          <w:szCs w:val="20"/>
          <w:lang w:eastAsia="zh-CN"/>
        </w:rPr>
      </w:pPr>
    </w:p>
    <w:p>
      <w:pPr>
        <w:spacing w:before="13"/>
        <w:rPr>
          <w:rFonts w:ascii="仿宋_GB2312" w:hAnsi="仿宋_GB2312" w:eastAsia="仿宋_GB2312" w:cs="仿宋_GB2312"/>
          <w:sz w:val="23"/>
          <w:szCs w:val="23"/>
          <w:lang w:eastAsia="zh-CN"/>
        </w:rPr>
      </w:pPr>
    </w:p>
    <w:p>
      <w:pPr>
        <w:pStyle w:val="2"/>
        <w:spacing w:line="321" w:lineRule="auto"/>
        <w:ind w:left="747" w:hanging="641"/>
        <w:rPr>
          <w:lang w:eastAsia="zh-CN"/>
        </w:rPr>
      </w:pPr>
      <w:r>
        <w:rPr>
          <w:lang w:eastAsia="zh-CN"/>
        </w:rPr>
        <w:t>强制性标准要求时，应按照强制性标准要求判定。</w:t>
      </w:r>
      <w:r>
        <w:rPr>
          <w:w w:val="99"/>
          <w:lang w:eastAsia="zh-CN"/>
        </w:rPr>
        <w:t xml:space="preserve"> </w:t>
      </w:r>
      <w:r>
        <w:rPr>
          <w:spacing w:val="8"/>
          <w:lang w:eastAsia="zh-CN"/>
        </w:rPr>
        <w:t>若被检产品明示的质量要求缺少本细则中检验项目依据的</w:t>
      </w:r>
    </w:p>
    <w:p>
      <w:pPr>
        <w:pStyle w:val="2"/>
        <w:spacing w:before="31"/>
        <w:ind w:left="106"/>
        <w:rPr>
          <w:lang w:eastAsia="zh-CN"/>
        </w:rPr>
      </w:pPr>
      <w:r>
        <w:rPr>
          <w:lang w:eastAsia="zh-CN"/>
        </w:rPr>
        <w:t>推荐性标准要求时，该项目不参与判定。</w:t>
      </w:r>
    </w:p>
    <w:sectPr>
      <w:pgSz w:w="11910" w:h="16840"/>
      <w:pgMar w:top="1580" w:right="13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61AB0"/>
    <w:rsid w:val="00935675"/>
    <w:rsid w:val="009B648A"/>
    <w:rsid w:val="00A61AB0"/>
    <w:rsid w:val="1BFF3CD2"/>
    <w:rsid w:val="3BFFA5A6"/>
    <w:rsid w:val="6D78D251"/>
    <w:rsid w:val="7F7F1448"/>
    <w:rsid w:val="7FBCB61E"/>
    <w:rsid w:val="7FDB3C93"/>
    <w:rsid w:val="EF7F2ECA"/>
    <w:rsid w:val="F3FA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26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135</Words>
  <Characters>772</Characters>
  <Lines>6</Lines>
  <Paragraphs>1</Paragraphs>
  <TotalTime>0</TotalTime>
  <ScaleCrop>false</ScaleCrop>
  <LinksUpToDate>false</LinksUpToDate>
  <CharactersWithSpaces>906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2025-09-09T00:04:00Z</dcterms:created>
  <dc:creator>1+7</dc:creator>
  <cp:lastModifiedBy>user</cp:lastModifiedBy>
  <dcterms:modified xsi:type="dcterms:W3CDTF">2025-09-24T10:50:31Z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