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关于部分检验依据、项目的说明</w:t>
      </w:r>
    </w:p>
    <w:p>
      <w:pPr>
        <w:spacing w:line="600" w:lineRule="exact"/>
        <w:ind w:firstLine="643" w:firstLineChars="200"/>
        <w:rPr>
          <w:rFonts w:ascii="仿宋_GB2312" w:hAnsi="Times New Roman" w:eastAsia="仿宋_GB2312"/>
          <w:b/>
          <w:sz w:val="32"/>
          <w:szCs w:val="32"/>
        </w:rPr>
      </w:pPr>
    </w:p>
    <w:p>
      <w:pPr>
        <w:pStyle w:val="9"/>
        <w:numPr>
          <w:ilvl w:val="0"/>
          <w:numId w:val="1"/>
        </w:numPr>
        <w:spacing w:line="600" w:lineRule="exact"/>
        <w:ind w:left="958" w:leftChars="304" w:hanging="320" w:hangingChars="100"/>
        <w:jc w:val="both"/>
        <w:rPr>
          <w:rFonts w:hAnsi="宋体" w:eastAsia="仿宋_GB2312" w:cs="Times New Roman"/>
          <w:color w:val="auto"/>
          <w:kern w:val="2"/>
          <w:sz w:val="32"/>
          <w:szCs w:val="32"/>
        </w:rPr>
      </w:pPr>
      <w:r>
        <w:rPr>
          <w:rFonts w:hint="eastAsia" w:hAnsi="宋体" w:eastAsia="仿宋_GB2312" w:cs="Times New Roman"/>
          <w:color w:val="auto"/>
          <w:kern w:val="2"/>
          <w:sz w:val="32"/>
          <w:szCs w:val="32"/>
        </w:rPr>
        <w:t>抽检依据</w:t>
      </w:r>
    </w:p>
    <w:p>
      <w:pPr>
        <w:pStyle w:val="9"/>
        <w:numPr>
          <w:ilvl w:val="0"/>
          <w:numId w:val="2"/>
        </w:numPr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食用农产品</w:t>
      </w:r>
    </w:p>
    <w:p>
      <w:pPr>
        <w:pStyle w:val="9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《食品安全国家标准 食品中兽药最大残留限量》(GB 31650-2019)、《食品动物中禁止使用的药品及其他化合物清单》(农业农村部公告第250号)、《食品安全国家标准 食品中污染物限量》(GB 2762-2017)、《食品安全国家标准 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品中农药最大残留限量》(GB 2763-2019)、《食品中可能违法添加的非食用物质和易滥用的食品添加剂名单（第四批）》(整顿办函〔2010〕50号 )、《兽药地方标准废止目录》(农业部公告第560号)等标准及产品明示标准和指标的要求。</w:t>
      </w:r>
    </w:p>
    <w:p>
      <w:pPr>
        <w:pStyle w:val="9"/>
        <w:numPr>
          <w:ilvl w:val="0"/>
          <w:numId w:val="2"/>
        </w:numPr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调味品</w:t>
      </w:r>
    </w:p>
    <w:p>
      <w:pPr>
        <w:pStyle w:val="9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《食品安全国家标准 食品添加剂使用标准》（GB 2760-2014）等标准及产品明示标准和指标的要求。</w:t>
      </w:r>
    </w:p>
    <w:p>
      <w:pPr>
        <w:pStyle w:val="9"/>
        <w:spacing w:line="600" w:lineRule="exact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</w:pPr>
    </w:p>
    <w:p>
      <w:pPr>
        <w:pStyle w:val="9"/>
        <w:numPr>
          <w:ilvl w:val="0"/>
          <w:numId w:val="1"/>
        </w:numPr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检验项目的说明</w:t>
      </w:r>
    </w:p>
    <w:p>
      <w:pPr>
        <w:pStyle w:val="9"/>
        <w:numPr>
          <w:ilvl w:val="0"/>
          <w:numId w:val="3"/>
        </w:numPr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4-氯苯氧乙酸钠(以4-氯苯氧乙酸计)</w:t>
      </w:r>
    </w:p>
    <w:p>
      <w:pPr>
        <w:widowControl/>
        <w:wordWrap/>
        <w:snapToGrid w:val="0"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 xml:space="preserve"> 4-氯苯氧乙酸钠（以4-氯苯氧乙酸计）又称防落素、保果灵，是一种植物生长调节剂。主要用于防止落花落果、抑制豆类生根等。《国家食品药品监督管理总局 农业部 国家卫生和计划生育委员会关于豆芽生产过程中禁止使用6-苄基腺嘌呤等物质的公告（2015年 第11号）》中规定，生产者不得在豆芽生产过程中使用6-苄基腺嘌呤、4-氯苯氧乙酸钠、赤霉素等物质，豆芽经营者不得经营含有6-苄基腺嘌呤、4-氯苯氧乙酸钠、赤霉素等物质的豆芽。豆芽中检出4-氯苯氧乙酸钠，可能是由于生产者在豆芽生产过程中为了抑制豆芽生根，提高豆芽产量，从而违规使用相关农药。</w:t>
      </w:r>
    </w:p>
    <w:p>
      <w:pPr>
        <w:widowControl/>
        <w:numPr>
          <w:ilvl w:val="0"/>
          <w:numId w:val="4"/>
        </w:numPr>
        <w:shd w:val="clear" w:color="auto" w:fill="auto"/>
        <w:wordWrap/>
        <w:snapToGrid w:val="0"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啶虫脒</w:t>
      </w:r>
    </w:p>
    <w:p>
      <w:pPr>
        <w:widowControl/>
        <w:shd w:val="clear" w:color="auto" w:fill="auto"/>
        <w:wordWrap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啶虫脒，内吸性杀虫剂。《食品安全国家标准 食品中农药最大残留限量》（GB 2763—2019）中规定，啶虫脒在菜薹中的最大残留限量为3mg/kg。啶虫脒超标的原因，可能是菜农对使用农药的安全间隔期不了解违规使用或滥用农药。</w:t>
      </w:r>
    </w:p>
    <w:p>
      <w:pPr>
        <w:widowControl/>
        <w:numPr>
          <w:ilvl w:val="0"/>
          <w:numId w:val="4"/>
        </w:numPr>
        <w:shd w:val="clear" w:color="auto" w:fill="auto"/>
        <w:wordWrap/>
        <w:snapToGrid w:val="0"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</w:pPr>
      <w:r>
        <w:rPr>
          <w:rFonts w:hint="eastAsia" w:hAnsi="宋体" w:eastAsia="仿宋_GB2312"/>
          <w:b w:val="0"/>
          <w:bCs w:val="0"/>
          <w:color w:val="auto"/>
          <w:sz w:val="32"/>
          <w:szCs w:val="32"/>
          <w:highlight w:val="none"/>
        </w:rPr>
        <w:t>恩诺沙星(以恩诺沙星与环丙沙星之和计)</w:t>
      </w:r>
    </w:p>
    <w:p>
      <w:pPr>
        <w:pStyle w:val="9"/>
        <w:shd w:val="clear" w:color="auto" w:fill="auto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/>
        </w:rPr>
        <w:t>恩诺沙星，又名恩氟奎林羧酸，属于氟喹诺酮类药物，化学合成广谱抑菌剂，在预防和治疗畜禽的细菌性感染及支原体病方面有良好效果。《食品安全国家标准 食品中兽药最大残留限量》(GB 31650-2019)规定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恩诺沙星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(以恩诺沙星与环丙沙星之和计)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家禽产蛋期禁用，而在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其他动物的肌肉、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/>
        </w:rPr>
        <w:t>鱼的皮和肉中的最大残留限量为100μg/kg。恩诺沙星超标的原因可能是养殖户在养殖过程中为快速控制疫病，违规加大用药量；也可能是养殖户不遵守休药期规定，致使产品上市销售时残留超标。</w:t>
      </w:r>
    </w:p>
    <w:p>
      <w:pPr>
        <w:pStyle w:val="9"/>
        <w:shd w:val="clear" w:color="auto" w:fill="auto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/>
        </w:rPr>
      </w:pPr>
    </w:p>
    <w:p>
      <w:pPr>
        <w:pStyle w:val="9"/>
        <w:numPr>
          <w:ilvl w:val="0"/>
          <w:numId w:val="4"/>
        </w:numPr>
        <w:shd w:val="clear" w:color="auto" w:fill="auto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/>
        </w:rPr>
        <w:t>呋喃唑酮代谢物</w:t>
      </w:r>
    </w:p>
    <w:p>
      <w:pPr>
        <w:pStyle w:val="9"/>
        <w:shd w:val="clear" w:color="auto" w:fill="auto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呋喃唑酮是硝基呋喃类广谱抗生素，曾广泛应用于畜禽及水产养殖业。硝基呋喃类原型药在生物体内代谢迅速，其代谢物因与蛋白质结合而相当稳定，故常利用对其代谢物的检测来反映硝基呋喃类药物的残留状况。《食品动物中禁止使用的药品及其他化合物清单》（农业农村部公告第250号）中规定，呋喃唑酮为禁止使用的药物，在动物性食品中不得检出。水产品中检出呋喃唑酮代谢物的原因，可能是养殖户在养殖过程中违规使用相关兽药。</w:t>
      </w:r>
    </w:p>
    <w:p>
      <w:pPr>
        <w:pStyle w:val="9"/>
        <w:numPr>
          <w:ilvl w:val="0"/>
          <w:numId w:val="4"/>
        </w:numPr>
        <w:shd w:val="clear" w:color="auto" w:fill="auto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/>
        </w:rPr>
      </w:pPr>
      <w:r>
        <w:rPr>
          <w:rFonts w:hint="eastAsia"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镉(以Cd计)</w:t>
      </w:r>
    </w:p>
    <w:p>
      <w:pPr>
        <w:widowControl/>
        <w:shd w:val="clear" w:color="auto" w:fill="auto"/>
        <w:wordWrap/>
        <w:snapToGrid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镉属于重金属污染物，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镉在植物性食品、水产品和动物性食品的内脏更易富集。食用农产品中检出镉含量超标的主要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原因是自然环境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受到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重金属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污染而释放入环境的土壤、水中，经过长期的积累和富集，导致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所在区域的水产品或种植的蔬菜中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镉含量超过相关的食品安全国家标准的规定。</w:t>
      </w:r>
    </w:p>
    <w:p>
      <w:pPr>
        <w:pStyle w:val="9"/>
        <w:numPr>
          <w:ilvl w:val="0"/>
          <w:numId w:val="4"/>
        </w:numPr>
        <w:shd w:val="clear" w:color="auto" w:fill="auto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/>
        </w:rPr>
      </w:pPr>
      <w:r>
        <w:rPr>
          <w:rFonts w:hint="eastAsia"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磺胺类(总量)</w:t>
      </w:r>
      <w:r>
        <w:rPr>
          <w:rFonts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 xml:space="preserve"> </w:t>
      </w:r>
    </w:p>
    <w:p>
      <w:pPr>
        <w:pStyle w:val="9"/>
        <w:shd w:val="clear" w:color="auto" w:fill="auto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ˎ̥" w:eastAsia="仿宋_GB2312" w:cs="Arial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</w:rPr>
        <w:t>磺胺类药物是合成的广谱抑菌药，对大多数革兰氏阳性和许多革兰氏阴性细菌有效，对于治疗禽类球虫病和鸡白细胞虫病疗效较好。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/>
        </w:rPr>
        <w:t>《食品安全国家标准 食品中兽药最大残留限量》(GB 31650-2019)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</w:rPr>
        <w:t>规定了“该类药物在动物肌肉中的最大残留限量为≤100μg/kg”。</w:t>
      </w:r>
      <w:r>
        <w:rPr>
          <w:rFonts w:ascii="仿宋_GB2312" w:hAnsi="ˎ̥" w:eastAsia="仿宋_GB2312" w:cs="Arial"/>
          <w:b w:val="0"/>
          <w:bCs w:val="0"/>
          <w:color w:val="auto"/>
          <w:sz w:val="32"/>
          <w:szCs w:val="32"/>
          <w:highlight w:val="none"/>
        </w:rPr>
        <w:t>养殖环节未严格控制休药期或超量使用可能导致残留超标。</w:t>
      </w:r>
    </w:p>
    <w:p>
      <w:pPr>
        <w:pStyle w:val="9"/>
        <w:shd w:val="clear" w:color="auto" w:fill="auto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ˎ̥" w:eastAsia="仿宋_GB2312" w:cs="Arial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（七）克百威</w:t>
      </w:r>
    </w:p>
    <w:p>
      <w:pPr>
        <w:pStyle w:val="9"/>
        <w:shd w:val="clear" w:color="auto" w:fill="auto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/>
        </w:rPr>
        <w:t>克百威，又名呋喃丹，是一种广谱性杀虫、杀螨、杀线虫剂。农业部第 199 号公告明确规定克百威不得用于蔬菜、果树、茶叶、中草药材上。《食品安全国家标准 食品中农药最大残留限量》（GB 2763-2019）规定，克百威在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豆类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/>
        </w:rPr>
        <w:t>蔬菜中的最大残留限量为0.02mg/kg。</w:t>
      </w:r>
    </w:p>
    <w:p>
      <w:pPr>
        <w:pStyle w:val="9"/>
        <w:numPr>
          <w:ilvl w:val="0"/>
          <w:numId w:val="5"/>
        </w:numPr>
        <w:shd w:val="clear" w:color="auto" w:fill="auto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氯霉素</w:t>
      </w:r>
    </w:p>
    <w:p>
      <w:pPr>
        <w:widowControl/>
        <w:shd w:val="clear" w:color="auto" w:fill="auto"/>
        <w:wordWrap/>
        <w:snapToGrid w:val="0"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 xml:space="preserve">氯霉素是一种广谱抗生素，农业农村部公告第250号《食品动物中禁止使用的药品及其他化合物清单》中明确规定了氯霉素禁止用于所有食品动物。不合格原因主要是养殖过程或者是运输过程中违规使用。  </w:t>
      </w:r>
    </w:p>
    <w:p>
      <w:pPr>
        <w:widowControl/>
        <w:shd w:val="clear" w:color="auto" w:fill="auto"/>
        <w:wordWrap/>
        <w:snapToGrid w:val="0"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（九）</w:t>
      </w:r>
      <w:r>
        <w:rPr>
          <w:rFonts w:hint="eastAsia" w:hAnsi="宋体" w:eastAsia="仿宋_GB2312"/>
          <w:b w:val="0"/>
          <w:bCs w:val="0"/>
          <w:color w:val="auto"/>
          <w:sz w:val="32"/>
          <w:szCs w:val="32"/>
          <w:highlight w:val="none"/>
        </w:rPr>
        <w:t>灭蝇胺</w:t>
      </w:r>
    </w:p>
    <w:p>
      <w:pPr>
        <w:widowControl/>
        <w:shd w:val="clear" w:color="auto" w:fill="auto"/>
        <w:wordWrap/>
        <w:snapToGrid w:val="0"/>
        <w:spacing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灭蝇胺是一种昆虫生长调节剂类低毒杀虫剂，有非常强的选择性，主要对双翅目昆虫有活性。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灭蝇胺适用于多种瓜果蔬菜，主要对"蝇类"害虫具有良好的杀虫作用。目前瓜果蔬菜生产中主要用于防治:各种瓜果类、茄果类、豆类及多种叶菜类蔬菜的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美洲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斑潜蝇、南美斑潜蝇、豆杆黑潜蝇、葱斑潜叶蝇、三叶斑潜蝇等多种潜叶蝇，韭菜及葱、蒜的根蛆(韭菜赤眼草蚊)等。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《食品安全国家标准 食品中农药最大残留限量》（GB 2763-2019）中规定，灭蝇胺在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豇豆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中的最大残留限量值为0.5mg/kg。在蔬菜农产品中造成灭蝇胺超标的主要原因，可能是由于</w:t>
      </w:r>
      <w:r>
        <w:rPr>
          <w:rFonts w:eastAsia="仿宋_GB2312"/>
          <w:b w:val="0"/>
          <w:bCs w:val="0"/>
          <w:color w:val="auto"/>
          <w:sz w:val="32"/>
          <w:szCs w:val="32"/>
          <w:highlight w:val="none"/>
        </w:rPr>
        <w:t>菜农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</w:rPr>
        <w:t>对</w:t>
      </w:r>
      <w:r>
        <w:rPr>
          <w:rFonts w:eastAsia="仿宋_GB2312"/>
          <w:b w:val="0"/>
          <w:bCs w:val="0"/>
          <w:color w:val="auto"/>
          <w:sz w:val="32"/>
          <w:szCs w:val="32"/>
          <w:highlight w:val="none"/>
        </w:rPr>
        <w:t>使用农药的安全间隔期不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解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从而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违规使用或滥用农药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。</w:t>
      </w:r>
    </w:p>
    <w:p>
      <w:pPr>
        <w:widowControl/>
        <w:shd w:val="clear" w:color="auto" w:fill="auto"/>
        <w:wordWrap/>
        <w:snapToGrid w:val="0"/>
        <w:spacing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（十）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铅(以Pb计)</w:t>
      </w:r>
    </w:p>
    <w:p>
      <w:pPr>
        <w:pStyle w:val="9"/>
        <w:shd w:val="clear" w:color="auto" w:fill="auto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铅是一种自然界中广泛存在的重金属元素，具有蓄积性。《食品安全国家标准 食品中污染物限量》（GB 2762-2017）规定新鲜蔬菜（芸薹类蔬菜、豆类蔬菜、叶菜蔬菜、薯类除外）中铅限量值为0.1mg/kg（以Pb计）。本次抽检铅项目不合格原因可能是种植过程中环境污染带入。</w:t>
      </w:r>
    </w:p>
    <w:p>
      <w:pPr>
        <w:pStyle w:val="9"/>
        <w:shd w:val="clear" w:color="auto" w:fill="auto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（十一）脱氢乙酸及其钠盐（以脱氢乙酸计）</w:t>
      </w:r>
    </w:p>
    <w:p>
      <w:pPr>
        <w:pStyle w:val="9"/>
        <w:shd w:val="clear" w:color="auto" w:fill="auto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脱氢乙酸及其钠盐作为一种广谱食品防腐剂，可以防止细菌的生长和繁殖，尤其对霉菌的抑制作用很强，但毒性较低，按标准规定的范围和使用量使用是安全可靠的。造成脱氢乙酸及其钠盐（以脱氢乙酸计）超标的原因可能是：企业为增加产品保质期，或者弥补产品生产过程卫生条件不佳而超范围使用。</w:t>
      </w:r>
    </w:p>
    <w:p>
      <w:pPr>
        <w:pStyle w:val="9"/>
        <w:spacing w:line="600" w:lineRule="exact"/>
        <w:jc w:val="both"/>
        <w:rPr>
          <w:rFonts w:hAnsi="宋体" w:eastAsia="仿宋_GB2312" w:cs="Times New Roman"/>
          <w:color w:val="auto"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DDE65"/>
    <w:multiLevelType w:val="singleLevel"/>
    <w:tmpl w:val="952DDE6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77A552E"/>
    <w:multiLevelType w:val="singleLevel"/>
    <w:tmpl w:val="177A552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74E6E75"/>
    <w:multiLevelType w:val="multilevel"/>
    <w:tmpl w:val="674E6E75"/>
    <w:lvl w:ilvl="0" w:tentative="0">
      <w:start w:val="2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D5071A9"/>
    <w:multiLevelType w:val="multilevel"/>
    <w:tmpl w:val="6D5071A9"/>
    <w:lvl w:ilvl="0" w:tentative="0">
      <w:start w:val="8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E9A4B05"/>
    <w:multiLevelType w:val="singleLevel"/>
    <w:tmpl w:val="7E9A4B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B6EFA"/>
    <w:rsid w:val="00020B35"/>
    <w:rsid w:val="00045822"/>
    <w:rsid w:val="000510D6"/>
    <w:rsid w:val="0005360E"/>
    <w:rsid w:val="00074AE1"/>
    <w:rsid w:val="000952EE"/>
    <w:rsid w:val="000A040D"/>
    <w:rsid w:val="000B36B8"/>
    <w:rsid w:val="000F530E"/>
    <w:rsid w:val="001242F4"/>
    <w:rsid w:val="001843CD"/>
    <w:rsid w:val="00230F6F"/>
    <w:rsid w:val="00250BCA"/>
    <w:rsid w:val="002565D3"/>
    <w:rsid w:val="00296473"/>
    <w:rsid w:val="003462F3"/>
    <w:rsid w:val="003472BC"/>
    <w:rsid w:val="003825CC"/>
    <w:rsid w:val="003D242B"/>
    <w:rsid w:val="00460661"/>
    <w:rsid w:val="004B4D11"/>
    <w:rsid w:val="004B6EFA"/>
    <w:rsid w:val="004D5DF7"/>
    <w:rsid w:val="004D77C5"/>
    <w:rsid w:val="005507FC"/>
    <w:rsid w:val="005C2AC8"/>
    <w:rsid w:val="00706D69"/>
    <w:rsid w:val="007101F7"/>
    <w:rsid w:val="007928D3"/>
    <w:rsid w:val="00796917"/>
    <w:rsid w:val="007F0176"/>
    <w:rsid w:val="00820F31"/>
    <w:rsid w:val="00824259"/>
    <w:rsid w:val="00872C98"/>
    <w:rsid w:val="00873ACB"/>
    <w:rsid w:val="00906AB7"/>
    <w:rsid w:val="009257A3"/>
    <w:rsid w:val="009427C8"/>
    <w:rsid w:val="00952FAC"/>
    <w:rsid w:val="0097367E"/>
    <w:rsid w:val="009A15EF"/>
    <w:rsid w:val="009A6087"/>
    <w:rsid w:val="00A435A3"/>
    <w:rsid w:val="00A64243"/>
    <w:rsid w:val="00AB7869"/>
    <w:rsid w:val="00AD7236"/>
    <w:rsid w:val="00B01DE3"/>
    <w:rsid w:val="00B15243"/>
    <w:rsid w:val="00B67A85"/>
    <w:rsid w:val="00BF0F88"/>
    <w:rsid w:val="00C32DD8"/>
    <w:rsid w:val="00C66CA5"/>
    <w:rsid w:val="00D0551C"/>
    <w:rsid w:val="00D505D7"/>
    <w:rsid w:val="00D51AED"/>
    <w:rsid w:val="00D57D1B"/>
    <w:rsid w:val="00E45720"/>
    <w:rsid w:val="00ED60C0"/>
    <w:rsid w:val="00F11BB3"/>
    <w:rsid w:val="00F32B4D"/>
    <w:rsid w:val="00F421C8"/>
    <w:rsid w:val="00F847A3"/>
    <w:rsid w:val="00F91BF5"/>
    <w:rsid w:val="00FD29D5"/>
    <w:rsid w:val="02276CB5"/>
    <w:rsid w:val="029A4196"/>
    <w:rsid w:val="02D318C2"/>
    <w:rsid w:val="03065F09"/>
    <w:rsid w:val="032B4FF7"/>
    <w:rsid w:val="039A3F65"/>
    <w:rsid w:val="03B054BA"/>
    <w:rsid w:val="03F06EAD"/>
    <w:rsid w:val="050D6EC3"/>
    <w:rsid w:val="051B3E0F"/>
    <w:rsid w:val="0698133D"/>
    <w:rsid w:val="071A528C"/>
    <w:rsid w:val="078602F3"/>
    <w:rsid w:val="090604A3"/>
    <w:rsid w:val="0A5020B4"/>
    <w:rsid w:val="0B2A7732"/>
    <w:rsid w:val="0BFE7616"/>
    <w:rsid w:val="0C1667AC"/>
    <w:rsid w:val="0CBC21EF"/>
    <w:rsid w:val="0CEF6768"/>
    <w:rsid w:val="0D2B2324"/>
    <w:rsid w:val="0E895DB4"/>
    <w:rsid w:val="0FBF5C69"/>
    <w:rsid w:val="104B7313"/>
    <w:rsid w:val="13150C7C"/>
    <w:rsid w:val="13766859"/>
    <w:rsid w:val="139C76A1"/>
    <w:rsid w:val="145F0D0D"/>
    <w:rsid w:val="14620EB5"/>
    <w:rsid w:val="156B7E6D"/>
    <w:rsid w:val="15886BAB"/>
    <w:rsid w:val="15C74A14"/>
    <w:rsid w:val="16627B1C"/>
    <w:rsid w:val="17177BD8"/>
    <w:rsid w:val="178E1838"/>
    <w:rsid w:val="1795134F"/>
    <w:rsid w:val="17EF416E"/>
    <w:rsid w:val="17F77F9A"/>
    <w:rsid w:val="18451B3F"/>
    <w:rsid w:val="18B91CC4"/>
    <w:rsid w:val="195B4923"/>
    <w:rsid w:val="19FE57A3"/>
    <w:rsid w:val="1A68171A"/>
    <w:rsid w:val="1A9E3EB9"/>
    <w:rsid w:val="1C442654"/>
    <w:rsid w:val="1DA94656"/>
    <w:rsid w:val="1DD27A1F"/>
    <w:rsid w:val="1DF10696"/>
    <w:rsid w:val="1E631366"/>
    <w:rsid w:val="1EFF100B"/>
    <w:rsid w:val="1FEF2EBB"/>
    <w:rsid w:val="214D5AEF"/>
    <w:rsid w:val="21CC1456"/>
    <w:rsid w:val="22550787"/>
    <w:rsid w:val="25137D68"/>
    <w:rsid w:val="263C6EBE"/>
    <w:rsid w:val="284A5BF2"/>
    <w:rsid w:val="29071C1E"/>
    <w:rsid w:val="29DF02C5"/>
    <w:rsid w:val="2A277FBA"/>
    <w:rsid w:val="2B461F65"/>
    <w:rsid w:val="2BE14DAB"/>
    <w:rsid w:val="2C516F87"/>
    <w:rsid w:val="2C753719"/>
    <w:rsid w:val="2D170CFF"/>
    <w:rsid w:val="2D231FEB"/>
    <w:rsid w:val="2D66027E"/>
    <w:rsid w:val="2E0128F7"/>
    <w:rsid w:val="2EF463FD"/>
    <w:rsid w:val="2F8E08A3"/>
    <w:rsid w:val="2FD10C3E"/>
    <w:rsid w:val="305B4673"/>
    <w:rsid w:val="30CE09BD"/>
    <w:rsid w:val="31C6061F"/>
    <w:rsid w:val="325564AA"/>
    <w:rsid w:val="32DB7C0F"/>
    <w:rsid w:val="32DD00BD"/>
    <w:rsid w:val="337317F3"/>
    <w:rsid w:val="33A57CD7"/>
    <w:rsid w:val="34114553"/>
    <w:rsid w:val="34707EFD"/>
    <w:rsid w:val="368C087B"/>
    <w:rsid w:val="369A3443"/>
    <w:rsid w:val="379573AA"/>
    <w:rsid w:val="382D77A1"/>
    <w:rsid w:val="386B654E"/>
    <w:rsid w:val="391352A9"/>
    <w:rsid w:val="3ADD2861"/>
    <w:rsid w:val="3AFA4815"/>
    <w:rsid w:val="3BF6690E"/>
    <w:rsid w:val="3D297853"/>
    <w:rsid w:val="3EE82D6B"/>
    <w:rsid w:val="3F15704C"/>
    <w:rsid w:val="3F3D144D"/>
    <w:rsid w:val="40B04F93"/>
    <w:rsid w:val="415428C2"/>
    <w:rsid w:val="423B28CA"/>
    <w:rsid w:val="426B4468"/>
    <w:rsid w:val="428D21EB"/>
    <w:rsid w:val="43E24FA8"/>
    <w:rsid w:val="4452544F"/>
    <w:rsid w:val="44D021D5"/>
    <w:rsid w:val="45D17096"/>
    <w:rsid w:val="46620974"/>
    <w:rsid w:val="46B032DF"/>
    <w:rsid w:val="46CD6716"/>
    <w:rsid w:val="47263491"/>
    <w:rsid w:val="48BC57F4"/>
    <w:rsid w:val="48BE27DA"/>
    <w:rsid w:val="49A67CE8"/>
    <w:rsid w:val="4B2D73B6"/>
    <w:rsid w:val="4B911789"/>
    <w:rsid w:val="4BB542A0"/>
    <w:rsid w:val="4C2F5DFB"/>
    <w:rsid w:val="4C897EB1"/>
    <w:rsid w:val="4C9412CB"/>
    <w:rsid w:val="4CC14FB3"/>
    <w:rsid w:val="4D273C7E"/>
    <w:rsid w:val="4D94490D"/>
    <w:rsid w:val="4DAD2FA1"/>
    <w:rsid w:val="4DDB6E2C"/>
    <w:rsid w:val="4E9C06D0"/>
    <w:rsid w:val="4FBE2F60"/>
    <w:rsid w:val="518C59E9"/>
    <w:rsid w:val="51C0523D"/>
    <w:rsid w:val="520E4E41"/>
    <w:rsid w:val="52837786"/>
    <w:rsid w:val="530B16CF"/>
    <w:rsid w:val="54534766"/>
    <w:rsid w:val="54984E9F"/>
    <w:rsid w:val="587B2371"/>
    <w:rsid w:val="58D27289"/>
    <w:rsid w:val="58EF2A7D"/>
    <w:rsid w:val="59DB16CD"/>
    <w:rsid w:val="5A50498B"/>
    <w:rsid w:val="5B027879"/>
    <w:rsid w:val="5C77642F"/>
    <w:rsid w:val="5CE8125B"/>
    <w:rsid w:val="5CED668D"/>
    <w:rsid w:val="5D5307C1"/>
    <w:rsid w:val="5E0F53FF"/>
    <w:rsid w:val="5E751D15"/>
    <w:rsid w:val="5F1D6839"/>
    <w:rsid w:val="60AC304D"/>
    <w:rsid w:val="60CF2535"/>
    <w:rsid w:val="610438A4"/>
    <w:rsid w:val="679722D4"/>
    <w:rsid w:val="67B767D2"/>
    <w:rsid w:val="68932D56"/>
    <w:rsid w:val="68B26099"/>
    <w:rsid w:val="697C6D68"/>
    <w:rsid w:val="6B4C4B7D"/>
    <w:rsid w:val="6B5F69B6"/>
    <w:rsid w:val="6BC77136"/>
    <w:rsid w:val="6D083A2F"/>
    <w:rsid w:val="6D2C606A"/>
    <w:rsid w:val="6DE212C3"/>
    <w:rsid w:val="6EF24136"/>
    <w:rsid w:val="6EF66C78"/>
    <w:rsid w:val="6F53059E"/>
    <w:rsid w:val="6FF2151A"/>
    <w:rsid w:val="7000577F"/>
    <w:rsid w:val="706D666D"/>
    <w:rsid w:val="71894BD7"/>
    <w:rsid w:val="726258D5"/>
    <w:rsid w:val="727507E7"/>
    <w:rsid w:val="73B232F5"/>
    <w:rsid w:val="73E31935"/>
    <w:rsid w:val="74504E2D"/>
    <w:rsid w:val="747B7968"/>
    <w:rsid w:val="74994EC2"/>
    <w:rsid w:val="74EF7DD6"/>
    <w:rsid w:val="757B108B"/>
    <w:rsid w:val="757B7956"/>
    <w:rsid w:val="774C36AE"/>
    <w:rsid w:val="77B41AFA"/>
    <w:rsid w:val="77DD7782"/>
    <w:rsid w:val="781A40C6"/>
    <w:rsid w:val="78E05724"/>
    <w:rsid w:val="78EB68E7"/>
    <w:rsid w:val="790F5053"/>
    <w:rsid w:val="794F6A88"/>
    <w:rsid w:val="79871452"/>
    <w:rsid w:val="79A342D8"/>
    <w:rsid w:val="7AC91127"/>
    <w:rsid w:val="7B6A0503"/>
    <w:rsid w:val="7B802328"/>
    <w:rsid w:val="7BCD75A4"/>
    <w:rsid w:val="7BFE7EA2"/>
    <w:rsid w:val="7D212BFB"/>
    <w:rsid w:val="7E3539E2"/>
    <w:rsid w:val="7F023EEF"/>
    <w:rsid w:val="7F6765F2"/>
    <w:rsid w:val="7FFB3B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_Style 1"/>
    <w:basedOn w:val="1"/>
    <w:qFormat/>
    <w:uiPriority w:val="34"/>
    <w:pPr>
      <w:ind w:firstLine="420" w:firstLine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</Company>
  <Pages>5</Pages>
  <Words>341</Words>
  <Characters>1945</Characters>
  <Lines>16</Lines>
  <Paragraphs>4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2019-04-08T02:10:00Z</dcterms:created>
  <dc:creator>黎佩珊</dc:creator>
  <cp:lastModifiedBy>梁振铿</cp:lastModifiedBy>
  <dcterms:modified xsi:type="dcterms:W3CDTF">2025-12-28T12:45:48Z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E32375B027F848019B4980DD450E26DD</vt:lpwstr>
  </property>
</Properties>
</file>