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东莞市市场监督管理局行政执法减免责清单（2022年）</w:t>
      </w:r>
    </w:p>
    <w:p>
      <w:pPr>
        <w:widowControl/>
        <w:jc w:val="center"/>
        <w:textAlignment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免处罚清单</w:t>
      </w:r>
    </w:p>
    <w:tbl>
      <w:tblPr>
        <w:tblStyle w:val="8"/>
        <w:tblW w:w="13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776"/>
        <w:gridCol w:w="2817"/>
        <w:gridCol w:w="3286"/>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0" w:type="dxa"/>
            <w:vAlign w:val="center"/>
          </w:tcPr>
          <w:p>
            <w:pPr>
              <w:spacing w:line="3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序号</w:t>
            </w:r>
          </w:p>
        </w:tc>
        <w:tc>
          <w:tcPr>
            <w:tcW w:w="4776" w:type="dxa"/>
            <w:vAlign w:val="center"/>
          </w:tcPr>
          <w:p>
            <w:pPr>
              <w:spacing w:line="3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事项名称</w:t>
            </w:r>
          </w:p>
        </w:tc>
        <w:tc>
          <w:tcPr>
            <w:tcW w:w="2817" w:type="dxa"/>
            <w:vAlign w:val="center"/>
          </w:tcPr>
          <w:p>
            <w:pPr>
              <w:spacing w:line="3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设定依据</w:t>
            </w:r>
          </w:p>
        </w:tc>
        <w:tc>
          <w:tcPr>
            <w:tcW w:w="3286" w:type="dxa"/>
            <w:vAlign w:val="center"/>
          </w:tcPr>
          <w:p>
            <w:pPr>
              <w:spacing w:line="3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适用情形</w:t>
            </w:r>
          </w:p>
        </w:tc>
        <w:tc>
          <w:tcPr>
            <w:tcW w:w="1708" w:type="dxa"/>
            <w:vAlign w:val="center"/>
          </w:tcPr>
          <w:p>
            <w:pPr>
              <w:spacing w:line="3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免处罚依据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对违反《中华人民共和国电子商务法》第七十六条，存在未在首页显著位置公示营业执照信息、行政许可信息、属于不需要办理市场主体登记情形等信息，或者上述信息的链接标识等行为的行政处罚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《中华人民共和国电子商务法》第十五条、第十六条、第二十四条、第七十六条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w:t>
            </w:r>
            <w:r>
              <w:rPr>
                <w:rFonts w:hint="eastAsia" w:eastAsia="宋体" w:cs="宋体"/>
                <w:color w:val="000000"/>
                <w:kern w:val="0"/>
                <w:szCs w:val="21"/>
              </w:rPr>
              <w:t>第</w:t>
            </w:r>
            <w:r>
              <w:rPr>
                <w:rFonts w:hint="eastAsia" w:ascii="Times New Roman" w:hAnsi="Times New Roman" w:eastAsia="宋体" w:cs="宋体"/>
                <w:color w:val="000000"/>
                <w:kern w:val="0"/>
                <w:szCs w:val="21"/>
              </w:rPr>
              <w:t>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对违反《中华人民共和国电子商务法》第八十一条，存在未在首页显著位置持续公示平台服务协议、交易规则信息或者上述信息的链接标识等行为的行政处罚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《中华人民共和国电子商务法》第三十三条、第三十四条、第三十七条第一款、第三十九条、第八十一条第一款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对网络交易平台提供者未在其平台显著位置明示七日无理由退货规则及配套的有关制度的行为的行政处罚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《网络购买商品七日无理由退货暂行办法》第二十二条、第三十二条、《中华人民共和国电子商务法》第八十一条第一款第一项</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对网络交易平台提供者未在技术上保证消费者能够便利、完整地阅览和保存的行为的行政处罚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《网络购买商品七日无理由退货暂行办法》第二十二条、第三十二条、《中华人民共和国电子商务法》第八十一条第一款第一项</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对在广告中使用“国家级”、“最高级”、“最佳”等用语的行为的行政处罚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《中华人民共和国广告法》第九条第一款第三项、第五十七条第一款第一项</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广告主在其经营场所或者利用自有媒体发布自有商品或者服务广告，点击率或阅读量较低，首次被发现实施此类违法行为，立即自行改正或在行政机关责令改正的期限内改正，危害后果轻微。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对法律、行政法规规定广告中应当明示的内容，未显著、清晰表示的行为的行政处罚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《中华人民共和国广告法》第八条、第五十九条第一款第一项</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对广告使用数据、统计资料、调查结果、文摘、引用语等引证内容未表明出处，引证内容有适用范围和有效期限未明确表示的行为的行政处罚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《中华人民共和国广告法》第十一条第二款、第五十九条第一款第二项</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广告引证内容真实、准确，首次被发现实施此类违法行为，立即自行改正或在行政机关责令改正的期限内改正，危害后果轻微。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对广告中涉及专利产品或者专利方法，未标明专利号和专利种类的行为的行政处罚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《中华人民共和国广告法》第十二条第一款、第五十九条第一款第三项</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已取得专利权且不存在终止、撤销、无效等情形，首次被发现实施此类违法行为，立即自行改正或在行政机关责令改正的期限内改正，危害后果轻微。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4776" w:type="dxa"/>
            <w:vAlign w:val="center"/>
          </w:tcPr>
          <w:p>
            <w:pPr>
              <w:spacing w:line="34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对大众传播媒介以新闻报道形式变相发布广告的行为的行政处罚</w:t>
            </w:r>
          </w:p>
        </w:tc>
        <w:tc>
          <w:tcPr>
            <w:tcW w:w="2817" w:type="dxa"/>
          </w:tcPr>
          <w:p>
            <w:pPr>
              <w:spacing w:line="34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《中华人民共和国广告法》第十四条第二款、第五十九条第三款</w:t>
            </w:r>
          </w:p>
        </w:tc>
        <w:tc>
          <w:tcPr>
            <w:tcW w:w="3286" w:type="dxa"/>
          </w:tcPr>
          <w:p>
            <w:pPr>
              <w:spacing w:line="34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widowControl/>
              <w:spacing w:line="34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4776" w:type="dxa"/>
            <w:vAlign w:val="center"/>
          </w:tcPr>
          <w:p>
            <w:pPr>
              <w:spacing w:line="34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对违反《药品、医疗器械、保健食品、特殊医学用途配方食品广告审查管理暂行办法》第十条规定，未显著、清晰表示广告中应当显著标明内容的行为的行政处罚</w:t>
            </w:r>
          </w:p>
        </w:tc>
        <w:tc>
          <w:tcPr>
            <w:tcW w:w="2817" w:type="dxa"/>
          </w:tcPr>
          <w:p>
            <w:pPr>
              <w:spacing w:line="340" w:lineRule="exact"/>
              <w:rPr>
                <w:rFonts w:ascii="Times New Roman" w:hAnsi="Times New Roman" w:eastAsia="宋体" w:cs="宋体"/>
                <w:color w:val="000000"/>
                <w:szCs w:val="21"/>
              </w:rPr>
            </w:pPr>
            <w:r>
              <w:rPr>
                <w:rFonts w:hint="eastAsia" w:ascii="Times New Roman" w:hAnsi="Times New Roman" w:eastAsia="宋体" w:cs="宋体"/>
                <w:color w:val="000000"/>
                <w:szCs w:val="21"/>
              </w:rPr>
              <w:t>《药品、医疗器械、保健食品、特殊医学用途配方食品广告审查管理暂行办法》第十条、第二十五条、《中华人民共和国广告法》第五十九条第一款</w:t>
            </w:r>
          </w:p>
        </w:tc>
        <w:tc>
          <w:tcPr>
            <w:tcW w:w="3286" w:type="dxa"/>
          </w:tcPr>
          <w:p>
            <w:pPr>
              <w:spacing w:line="34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widowControl/>
              <w:spacing w:line="34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4776" w:type="dxa"/>
            <w:vAlign w:val="center"/>
          </w:tcPr>
          <w:p>
            <w:pPr>
              <w:spacing w:line="34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对发布医疗广告未标注医疗机构第一名称和《医疗广告审查证明》文号的行为的行政处罚</w:t>
            </w:r>
          </w:p>
        </w:tc>
        <w:tc>
          <w:tcPr>
            <w:tcW w:w="2817" w:type="dxa"/>
          </w:tcPr>
          <w:p>
            <w:pPr>
              <w:spacing w:line="34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《医疗广告管理办法》第十四条、第二十二条</w:t>
            </w:r>
          </w:p>
        </w:tc>
        <w:tc>
          <w:tcPr>
            <w:tcW w:w="3286" w:type="dxa"/>
          </w:tcPr>
          <w:p>
            <w:pPr>
              <w:spacing w:line="34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已取得广告批准文号，且发布的医疗广告内容与批准内容一致，且属于首次被发现实施此类违法行为，立即自行改正或在行政机关责令改正的期限内改正，危害后果轻微。</w:t>
            </w:r>
          </w:p>
        </w:tc>
        <w:tc>
          <w:tcPr>
            <w:tcW w:w="1708" w:type="dxa"/>
          </w:tcPr>
          <w:p>
            <w:pPr>
              <w:widowControl/>
              <w:spacing w:line="34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12</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对兽药广告内容未列出批准文号的行为的行政处罚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《兽药广告审查发布标准》第十条、第十二条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已取得广告批准文号，且发布的兽药广告内容与批准内容一致，且属于首次被发现实施此类违法行为，立即自行改正或在行政机关责令改正的期限内改正，危害后果轻微。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13</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对农药广告内容未列出批准文号的行为的</w:t>
            </w:r>
            <w:r>
              <w:rPr>
                <w:rFonts w:hint="eastAsia" w:eastAsia="宋体" w:cs="宋体"/>
                <w:color w:val="000000"/>
                <w:szCs w:val="21"/>
              </w:rPr>
              <w:t>行政</w:t>
            </w:r>
            <w:r>
              <w:rPr>
                <w:rFonts w:hint="eastAsia" w:ascii="Times New Roman" w:hAnsi="Times New Roman" w:eastAsia="宋体" w:cs="宋体"/>
                <w:color w:val="000000"/>
                <w:szCs w:val="21"/>
              </w:rPr>
              <w:t>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《农药广告审查发布标准》第十一条、第十三条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已取得广告批准文号，且发布的农药广告内容与批准内容一致，且属于首次被发现实施此类违法行为，立即自行改正或在行政机关责令改正的期限内改正，危害后果轻微。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14</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使用非法定计量单位的，属出版物的行为的行政处罚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《计量法》第三条、《计量法实施细则》第二条、第四十条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15</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部门和企业、事业单位的各项最高计量标准，未经有关人民政府计量行政部门考核合格而开展计量检定的行为的行政处罚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《计量法》第七条、第八条、《计量法实施细则》第九条、第十条、第四十二条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首次被发现实施此类违法行为，持续时间不长，立即自行改正或在行政机关责令改正的期限内改正，危害后果轻微。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rPr>
              <w:t>16</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属于强制检定范围的计量器具，未按照规定申请检定和属于非强制检定范围的计量器具未自行定期检定或者送其他计量检定机构定期检定的，以及经检定不合格继续使用的行为的行政处罚</w:t>
            </w:r>
          </w:p>
        </w:tc>
        <w:tc>
          <w:tcPr>
            <w:tcW w:w="2817"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《计量法》第九条、《计量法实施细则》第十一条第二款、第十二条、第四十三条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首次被发现实施此类违法行为，计量器具经检定合格，立即自行改正或在行政机关责令改正的期限内改正，危害后果轻微。</w:t>
            </w:r>
          </w:p>
        </w:tc>
        <w:tc>
          <w:tcPr>
            <w:tcW w:w="1708"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17</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对生产、经营者将“驰名商标”字样用于商品、商品包装或者容器上，或者用于广告宣传、展览以及其他商业活动中的行为的行政处罚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《中华人民共和国商标法》第十四条第五款、第五十三条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有获得“驰名商标”认定或者保护记录，首次被发现实施此类违法行为，立即自行改正或在行政机关责令改正的期限内改正，危害后果轻微。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18</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广告用语用字未按规定使用普通话和规范汉字的行政处罚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《广告语言文字管理暂行规定》第五条第一款、第十五条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19</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对广告发布登记事项发生变化，广告发布单位未按规定办理变更登记的行为的行政处罚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《广告发布登记管理规定》第八条第一款、第十五条第三款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20</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对广告发布单位不按规定报送《广告业统计报表》的行为的行政处罚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《广告发布登记管理规定》第十二条、第十五条第四款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21</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发布房地产预售或者销售广告未载明预售或者销售许可证书号的行政处罚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《房地产广告发布规定》第七条第一款、第二十一条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已取得预售或者销售许可证书；属于首次被发现实施此类违法行为；立即自行改正或在行政机关责令改正的期限内改正；没有造成实际危害后果。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22</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经营者未依法取得营业执照从事经营活动的行政处罚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《无证无照经营查处办法》第二条、第十三条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属于首次被发现实施此类违法行为；立案调查前已提交申请营业执照材料并通过审核的；立即自行改正或在行政机关责令改正的期限内改正；没有造成实际危害后果。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23</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对公司登记事项发生变更时，未依法办理有关变更登记的行为的行政处罚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《中华人民共和国公司法》第七条第三款、第二百一十一条第二款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24</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对合伙企业登记事项发生变更时，未依照本法规定办理变更登记的行为的行政处罚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《中华人民共和国合伙企业法》第十三条、第九十五条第二款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25</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个人独资企业登记事项发生变更时，未按本法规定办理有关变更登记的行政处罚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《中华人民共和国个人独资企业法》第十五条、第三十七条第二款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26</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对个体工商户登记事项变更，未办理变更登记的行政处罚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《个体工商户条例》第十条第一款、第二十三条第一款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27</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对农民专业合作社登记事项发生变更，未申请变更登记的行为的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《农民专业合作社登记管理条例》第二十条、第二十七条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28</w:t>
            </w:r>
          </w:p>
        </w:tc>
        <w:tc>
          <w:tcPr>
            <w:tcW w:w="4776"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公司解散进行清算时，清算组未按规定将清算组成员、清算组负责人名单向公司登记机关备案的行政处罚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《中华人民共和国公司登记管理条例》第四十一条、第六十八条第二款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29</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公司未按规定将其设立分公司情况向公司登记机关备案的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《中华人民共和国公司登记管理条例》第四十七条第四款、第六十八条第二款</w:t>
            </w:r>
          </w:p>
        </w:tc>
        <w:tc>
          <w:tcPr>
            <w:tcW w:w="328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1.属于首次被发现实施此类违法行为；                2.该分公司已被公司登记机关准予登记，发给《营业执照》；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3.立即自行改正或在行政机关责令改正的期限内改正；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30</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公司未将修改后的公司章程或公司章程修正案报送原登记机关备案的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《中华人民共和国公司登记管理条例》第五十八条第三款、第七十二条第二款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31</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公司董事、监事、经理发生变动时，未向原公司登记机关备案的</w:t>
            </w:r>
            <w:r>
              <w:rPr>
                <w:rFonts w:hint="eastAsia" w:ascii="Times New Roman" w:hAnsi="Times New Roman" w:eastAsia="宋体" w:cs="宋体"/>
                <w:color w:val="000000"/>
                <w:szCs w:val="21"/>
              </w:rPr>
              <w:t>行政处罚</w:t>
            </w:r>
          </w:p>
        </w:tc>
        <w:tc>
          <w:tcPr>
            <w:tcW w:w="2817" w:type="dxa"/>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《中华人民共和国公司登记管理条例》第三十七条、</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第六十八条第二款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32</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对公司未将营业执照置于住所或者营业场所醒目位置的行为的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《中华人民共和国公司登记管理条例》第五十八条第三款、第七十二条第二款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33</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企业法人歇业、被撤销、宣告破产或者因其他原因终止营业时，不按照规定向登记主管机关办理注销登记的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《中华人民共和国企业法人登记管理条例》第二十条、第二十九条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34</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合伙企业解散进行清算时，未依法向登记机关办理清算人成员名单备案的</w:t>
            </w:r>
            <w:r>
              <w:rPr>
                <w:rFonts w:hint="eastAsia" w:ascii="Times New Roman" w:hAnsi="Times New Roman" w:eastAsia="宋体" w:cs="宋体"/>
                <w:color w:val="000000"/>
                <w:szCs w:val="21"/>
              </w:rPr>
              <w:t>行政处罚</w:t>
            </w:r>
          </w:p>
        </w:tc>
        <w:tc>
          <w:tcPr>
            <w:tcW w:w="2817"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《中华人民共和国合伙企业登记管理办法》第二十一条、第四十一条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35</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合伙企业未将其营业执照正本置放在经营场所醒目位置的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《中华人民共和国合伙企业登记管理办法》第三十三条第四款、第四十三条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36</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个人独资企业不按规定时间将分支机构登记情况报备案的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《个人独资企业登记管理办法》第二十七条、第三十九条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37</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对个人独资企业未将营业执照正本置放在企业住所醒目位置的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《个人独资企业登记管理办法》第三十二条、第四十一条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38</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对个体工商户未将营业执照正本应当置于个体工商户经营场所的醒目位置的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《个体工商户登记管理办法》第二十五条、第三十七条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39</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外国企业常驻代表机构违反《外国企业常驻代表机构登记管理条例》第十四条规定，从事可从事的业务活动以外活动的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《外国企业常驻代表机构登记管理条例》第十四条、第三十七条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40</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商事主体备案事项发生变动时，未在规定期限内向登记机关申报备案的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《广东省商事登记条例》第二十八条、第六十条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41</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被许可人未按规定在使用该注册商标的商品上标明被许可人的名称和商品产地的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《中华人民共和国商标法》第四十三条第二款、第七十一条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42</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电子商务经营者未明示用户信息查询、更正、删除以及用户注销的方式、程序，或者对用户信息查询、更正、删除以及用户注销设置不合理条件的</w:t>
            </w:r>
            <w:r>
              <w:rPr>
                <w:rFonts w:hint="eastAsia" w:ascii="Times New Roman" w:hAnsi="Times New Roman" w:eastAsia="宋体" w:cs="宋体"/>
                <w:color w:val="000000"/>
                <w:szCs w:val="21"/>
              </w:rPr>
              <w:t>行政处罚</w:t>
            </w:r>
          </w:p>
        </w:tc>
        <w:tc>
          <w:tcPr>
            <w:tcW w:w="2817"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《中华人民共和国电子商务法》第二十四条第一款、第七十六条第一款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43</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电子商务平台经营者未按规定向市场监管部门报送有关信息的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《中华人民共和国电子商务法》第二十八条第一款、第八十条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44</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从事网络商品交易及有关服务的经营者违反《网络交易管理办法》第八条、第二十一条规定的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《网络交易管理办法》第八条、第五十一条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45</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电子商务平台经营者对平台内经营者实施侵犯知识产权行为未依法采取必要措施的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《中华人民共和国电子商务法》第四十二条、第八十四条</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46</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电子商务平台经营者未按规定履行商品和服务信息、交易信息保存义务的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《中华人民共和国电子商务法》第三十一条、第八十条第一款</w:t>
            </w:r>
          </w:p>
        </w:tc>
        <w:tc>
          <w:tcPr>
            <w:tcW w:w="3286" w:type="dxa"/>
          </w:tcPr>
          <w:p>
            <w:pPr>
              <w:spacing w:line="300" w:lineRule="exact"/>
              <w:rPr>
                <w:rFonts w:ascii="Times New Roman" w:hAnsi="Times New Roman" w:eastAsia="宋体" w:cs="宋体"/>
                <w:color w:val="000000"/>
                <w:szCs w:val="21"/>
              </w:rPr>
            </w:pPr>
            <w:r>
              <w:rPr>
                <w:rFonts w:hint="eastAsia" w:ascii="Times New Roman" w:hAnsi="Times New Roman" w:eastAsia="宋体" w:cs="宋体"/>
                <w:color w:val="000000"/>
                <w:szCs w:val="21"/>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47</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经营者商品不明码标价或不按规定的内容和方式明码标价的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《关于商品和服务实行明码标价的规定》 第九条、第二十一条</w:t>
            </w:r>
          </w:p>
        </w:tc>
        <w:tc>
          <w:tcPr>
            <w:tcW w:w="328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适用于零售商等经营者首次被发现实施此类违法行为；有证据证明事先充分保障了消费者的知情权与选择权；立即自行改正或在行政机关责令改正的期限内改正；没有造成实际危害后果。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48</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对生产、销售定量包装商品未标注净含量的行为的行政处罚的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《定量包装商品计量监督管理办法》第五条、第十七条</w:t>
            </w:r>
          </w:p>
        </w:tc>
        <w:tc>
          <w:tcPr>
            <w:tcW w:w="328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49</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生产、销售定量包装商品净含量标注字符最小高度不符合规定的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《定量包装商品计量监督管理办法》第六条、第十七条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50</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生产、销售同一包装内含有多件同种或不同种定量包装商品，未依法标注的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《定量包装商品计量监督管理办法》第七条、第十七条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51</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集市主办者未按规定对集市使用的属于强制检定的计量器具登记造册和备案，并配合市场监督管理部门及其指定的法定计量检定机构做好强制检定工作的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《集贸市场计量监督管理办法》第五条、第十一条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52</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进口和销售未经国务院计量行政部门型式批准的计量器具的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《中华人民共和国进口计量器具监督管理办法》第四条、第十六条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53</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特种设备出厂未随附相关技术资料和文件的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《中华人民共和国特种设备安全法》第二十一条、第七十七条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54</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特种设备使用单位未建立特种设备安全技术档案或者安全技术档案不符合规定要求或者未依法设置使用登记标志、定期检验标志的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《中华人民共和国特种设备安全法》第三十五条、第八十三条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55</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认证机构增加、减少、遗漏程序的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《认证机构管理办法》第十六条、第六十条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56</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混淆使用认证证书和认证标志的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《认证证书和认证标志管理办法》第十二条、第二十五条第一款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57</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未按照规定使用认证标志的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《强制性产品认证管理规定》第三十二条、第五十五条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58</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获证产品及其销售包装上标注的认证证书所含内容与认证证书内容不一致的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《强制性产品认证管理规定》第二十三条、第五十五条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59</w:t>
            </w:r>
          </w:p>
        </w:tc>
        <w:tc>
          <w:tcPr>
            <w:tcW w:w="4776" w:type="dxa"/>
            <w:vAlign w:val="center"/>
          </w:tcPr>
          <w:p>
            <w:pPr>
              <w:widowControl/>
              <w:jc w:val="left"/>
              <w:textAlignment w:val="center"/>
              <w:rPr>
                <w:rFonts w:ascii="宋体" w:hAnsi="宋体" w:cs="宋体"/>
                <w:color w:val="000000"/>
                <w:kern w:val="0"/>
                <w:sz w:val="22"/>
                <w:szCs w:val="22"/>
              </w:rPr>
            </w:pPr>
            <w:r>
              <w:rPr>
                <w:rFonts w:hint="eastAsia"/>
              </w:rPr>
              <w:t>生产经营存在标签瑕疵的食品的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《中华人民共和国食品安全法》第六十七条、第一百二十五条第二款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60</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食品生产许可证副本载明的同一食品类别内的事项发生变化，食品生产者未按规定报告的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《食品生产许可管理办法》第三十二条第三款、第五十三条第三款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61</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食品生产者未按规定申请办理注销手续的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《食品生产许可管理办法》第四十条第一款、第五十三条第三款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62</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食品经营者外设仓库地址发生变化，未按规定报告的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《食品经营许可管理办法》第二十七条第二款、第四十九条第二款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63</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食品经营者未按规定办理注销手续的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《食品经营许可管理办法》第三十六条第一款、第四十九条第二款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64</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网络食品交易第三方平台提供者和通过自建网站交易的食品生产经营者未履行相应备案义务的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《网络食品安全违法行为查处办法》第八条第一款、第二款、第二十九条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65</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网络食品交易第三方平台提供者和通过自建网站交易的食品生产经营者不具备数据备份、故障恢复等技术条件，不能保障网络食品交易数据和资料的可靠性与安全性的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《网络食品安全违法行为查处办法》第九条、第三十条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66</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网络食品交易第三方平台提供者未按要求建立入网食品生产经营者审查登记、食品安全自查、食品安全违法行为制止及报告、严重违法行为平台服务停止、食品安全投诉举报处理等制度的或者未公开以上制度的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《网络食品安全违法行为查处办法》第十条、第三十一条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67</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网络食品交易第三方平台提供者未建立入网食品生产经营者档案、记录入网食品生产经营者相关信息的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《网络食品安全违法行为查处办法》第十二条、第三十三条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68</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网络食品交易第三方平台提供者未按要求记录、保存食品交易信息的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《网络食品安全违法行为查处办法》第十三条、第三十四条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69</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网络食品交易第三方平台提供者未设置专门的网络食品安全管理机构或者指定专职食品安全管理人员对平台上的食品安全经营行为及信息进行检查的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《网络食品安全违法行为查处办法》第十四条第一款、第三十五条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70</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入网食品生产经营者未按要求进行信息公示的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《网络食品安全违法行为查处办法》第十八条、第四十条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71</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食品经营者未按规定在经营场所的显著位置悬挂或者摆放食品经营许可证的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《食品经营许可管理办法》第二十六条第二款、第四十八条第二款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72</w:t>
            </w:r>
          </w:p>
        </w:tc>
        <w:tc>
          <w:tcPr>
            <w:tcW w:w="477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食品生产者未按规定在生产场所的显著位置悬挂或者摆放食品生产许可证的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《食品生产许可管理办法》第三十一条第二款、第五十二条第二款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73</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食品经营者经营未设立专区或者专柜并用提示牌标明的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《广东省食品安全条例》第十七条第二款、第六十七条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74</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批发市场开办者未与入场销售者签订食用农产品质量安全协议，或者未印制统一格式的食用农产品销售凭证的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《食用农产品市场销售质量安全监督管理办法》第十八条第一款、第四十八条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75</w:t>
            </w:r>
          </w:p>
        </w:tc>
        <w:tc>
          <w:tcPr>
            <w:tcW w:w="4776" w:type="dxa"/>
            <w:vAlign w:val="center"/>
          </w:tcPr>
          <w:p>
            <w:pPr>
              <w:widowControl/>
              <w:jc w:val="left"/>
              <w:textAlignment w:val="center"/>
            </w:pPr>
            <w:r>
              <w:rPr>
                <w:rFonts w:hint="eastAsia"/>
              </w:rPr>
              <w:t>取得工业产品生产许可证的企业未依照规定在产品、包装或说明书上标准生产许可证标志或编号的</w:t>
            </w:r>
            <w:r>
              <w:rPr>
                <w:rFonts w:hint="eastAsia" w:ascii="Times New Roman" w:hAnsi="Times New Roman" w:eastAsia="宋体" w:cs="宋体"/>
                <w:color w:val="000000"/>
                <w:szCs w:val="21"/>
              </w:rPr>
              <w:t>行政处罚</w:t>
            </w:r>
          </w:p>
          <w:p>
            <w:pPr>
              <w:widowControl/>
              <w:jc w:val="left"/>
              <w:textAlignment w:val="center"/>
              <w:rPr>
                <w:rFonts w:ascii="宋体" w:hAnsi="宋体" w:eastAsia="宋体" w:cs="宋体"/>
                <w:color w:val="000000"/>
                <w:kern w:val="0"/>
                <w:sz w:val="22"/>
                <w:szCs w:val="22"/>
              </w:rPr>
            </w:pP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《中华人民共和国工业产品生产许可证管理条例》第三十三条第一款、第四十七条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76</w:t>
            </w:r>
          </w:p>
        </w:tc>
        <w:tc>
          <w:tcPr>
            <w:tcW w:w="4776" w:type="dxa"/>
            <w:vAlign w:val="center"/>
          </w:tcPr>
          <w:p>
            <w:pPr>
              <w:widowControl/>
              <w:jc w:val="left"/>
              <w:textAlignment w:val="center"/>
            </w:pPr>
            <w:r>
              <w:rPr>
                <w:rFonts w:hint="eastAsia"/>
              </w:rPr>
              <w:t>参加传销的</w:t>
            </w:r>
            <w:r>
              <w:rPr>
                <w:rFonts w:hint="eastAsia" w:ascii="Times New Roman" w:hAnsi="Times New Roman" w:eastAsia="宋体" w:cs="宋体"/>
                <w:color w:val="000000"/>
                <w:szCs w:val="21"/>
              </w:rPr>
              <w:t>行政处罚</w:t>
            </w:r>
          </w:p>
          <w:p>
            <w:pPr>
              <w:widowControl/>
              <w:jc w:val="left"/>
              <w:textAlignment w:val="center"/>
            </w:pPr>
          </w:p>
          <w:p>
            <w:pPr>
              <w:widowControl/>
              <w:jc w:val="left"/>
              <w:textAlignment w:val="center"/>
              <w:rPr>
                <w:rFonts w:ascii="宋体" w:hAnsi="宋体" w:eastAsia="宋体" w:cs="宋体"/>
                <w:color w:val="000000"/>
                <w:kern w:val="0"/>
                <w:sz w:val="22"/>
                <w:szCs w:val="22"/>
              </w:rPr>
            </w:pP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《禁止传销条例》第七条、第二十四条第三款</w:t>
            </w:r>
          </w:p>
        </w:tc>
        <w:tc>
          <w:tcPr>
            <w:tcW w:w="3286" w:type="dxa"/>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首次被发现实施此类违法行为；立即自行改正；非明知为传销仍然参加，且在参加传销后没有参与实施软暴力等行为；没有造成实际危害后果。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77</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从事第一类医疗器械生产未按规定备案的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《医疗器械监督管理条例》第八条、第六十五条第一款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78</w:t>
            </w:r>
          </w:p>
        </w:tc>
        <w:tc>
          <w:tcPr>
            <w:tcW w:w="4776" w:type="dxa"/>
            <w:vAlign w:val="center"/>
          </w:tcPr>
          <w:p>
            <w:pPr>
              <w:widowControl/>
              <w:jc w:val="left"/>
              <w:textAlignment w:val="center"/>
              <w:rPr>
                <w:rFonts w:ascii="宋体" w:hAnsi="宋体" w:eastAsia="宋体" w:cs="宋体"/>
                <w:color w:val="000000"/>
                <w:kern w:val="0"/>
                <w:sz w:val="22"/>
                <w:szCs w:val="22"/>
              </w:rPr>
            </w:pPr>
            <w:r>
              <w:rPr>
                <w:rFonts w:hint="eastAsia"/>
              </w:rPr>
              <w:t>从事二类医疗器械经营未按规定备案的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《医疗器械监督管理条例》第三十条、第六十五条第一款</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79</w:t>
            </w:r>
          </w:p>
        </w:tc>
        <w:tc>
          <w:tcPr>
            <w:tcW w:w="4776" w:type="dxa"/>
            <w:vAlign w:val="center"/>
          </w:tcPr>
          <w:p>
            <w:pPr>
              <w:widowControl/>
              <w:jc w:val="left"/>
              <w:textAlignment w:val="center"/>
            </w:pPr>
            <w:r>
              <w:rPr>
                <w:rFonts w:hint="eastAsia"/>
              </w:rPr>
              <w:t>化妆品标识未标注化妆品名称或者标注名称不符合规定要求的</w:t>
            </w:r>
            <w:r>
              <w:rPr>
                <w:rFonts w:hint="eastAsia" w:ascii="Times New Roman" w:hAnsi="Times New Roman" w:eastAsia="宋体" w:cs="宋体"/>
                <w:color w:val="000000"/>
                <w:szCs w:val="21"/>
              </w:rPr>
              <w:t>行政处罚</w:t>
            </w:r>
          </w:p>
          <w:p>
            <w:pPr>
              <w:widowControl/>
              <w:jc w:val="left"/>
              <w:textAlignment w:val="center"/>
              <w:rPr>
                <w:rFonts w:ascii="宋体" w:hAnsi="宋体" w:eastAsia="宋体" w:cs="宋体"/>
                <w:color w:val="000000"/>
                <w:kern w:val="0"/>
                <w:sz w:val="22"/>
                <w:szCs w:val="22"/>
              </w:rPr>
            </w:pP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《化妆品标识管理规定》第六条、第二十四条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80</w:t>
            </w:r>
          </w:p>
        </w:tc>
        <w:tc>
          <w:tcPr>
            <w:tcW w:w="4776" w:type="dxa"/>
            <w:vAlign w:val="center"/>
          </w:tcPr>
          <w:p>
            <w:pPr>
              <w:widowControl/>
              <w:jc w:val="left"/>
              <w:textAlignment w:val="center"/>
              <w:rPr>
                <w:rFonts w:ascii="宋体" w:hAnsi="宋体" w:cs="宋体"/>
                <w:color w:val="000000"/>
                <w:kern w:val="0"/>
                <w:sz w:val="22"/>
                <w:szCs w:val="22"/>
              </w:rPr>
            </w:pPr>
            <w:r>
              <w:rPr>
                <w:rFonts w:hint="eastAsia"/>
              </w:rPr>
              <w:t>化妆品标识未依法标注化妆品实际生产加工地或者生产者名称、地址的</w:t>
            </w:r>
            <w:r>
              <w:rPr>
                <w:rFonts w:hint="eastAsia" w:ascii="Times New Roman" w:hAnsi="Times New Roman" w:eastAsia="宋体" w:cs="宋体"/>
                <w:color w:val="000000"/>
                <w:szCs w:val="21"/>
              </w:rPr>
              <w:t>行政处罚</w:t>
            </w:r>
          </w:p>
        </w:tc>
        <w:tc>
          <w:tcPr>
            <w:tcW w:w="2817" w:type="dxa"/>
            <w:vAlign w:val="center"/>
          </w:tcPr>
          <w:p>
            <w:pPr>
              <w:spacing w:line="30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《化妆品标识管理规定》第八条、第二十五条</w:t>
            </w:r>
          </w:p>
        </w:tc>
        <w:tc>
          <w:tcPr>
            <w:tcW w:w="3286" w:type="dxa"/>
          </w:tcPr>
          <w:p>
            <w:pPr>
              <w:spacing w:line="300" w:lineRule="exact"/>
              <w:rPr>
                <w:rFonts w:ascii="Times New Roman" w:hAnsi="Times New Roman" w:eastAsia="宋体" w:cs="宋体"/>
                <w:color w:val="000000"/>
                <w:szCs w:val="21"/>
              </w:rPr>
            </w:pPr>
            <w:r>
              <w:rPr>
                <w:rFonts w:hint="eastAsia" w:ascii="宋体" w:hAnsi="宋体" w:eastAsia="宋体" w:cs="宋体"/>
                <w:color w:val="000000"/>
                <w:kern w:val="0"/>
                <w:sz w:val="22"/>
                <w:szCs w:val="22"/>
              </w:rPr>
              <w:t>属于首次被发现实施此类违法行为；立即自行改正或在行政机关责令改正的期限内改正；没有造成实际危害后果。</w:t>
            </w:r>
          </w:p>
        </w:tc>
        <w:tc>
          <w:tcPr>
            <w:tcW w:w="1708" w:type="dxa"/>
          </w:tcPr>
          <w:p>
            <w:pPr>
              <w:spacing w:line="300" w:lineRule="exac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81</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对未在规定期限内办理单用途商业预付卡备案的行为的行政处罚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《单用途商业预付卡管理办法（试行）》（商务部令2012年第9号，2016年修正）第七条、第十二条、第三十六条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对在规定期限内未办理单用途预付卡备案，但在限期内改正的，不予行政处罚。</w:t>
            </w:r>
          </w:p>
        </w:tc>
        <w:tc>
          <w:tcPr>
            <w:tcW w:w="1708" w:type="dxa"/>
            <w:vAlign w:val="center"/>
          </w:tcPr>
          <w:p>
            <w:pPr>
              <w:widowControl/>
              <w:numPr>
                <w:ilvl w:val="0"/>
                <w:numId w:val="1"/>
              </w:numPr>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《中华人民共和国行政处罚法》第三十三条</w:t>
            </w:r>
          </w:p>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 xml:space="preserve">2.《单用途商业预付卡管理办法（试行）》第三十六条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Cs/>
                <w:color w:val="000000"/>
                <w:kern w:val="0"/>
                <w:szCs w:val="21"/>
              </w:rPr>
            </w:pPr>
            <w:r>
              <w:rPr>
                <w:rFonts w:hint="eastAsia" w:ascii="Times New Roman" w:hAnsi="Times New Roman" w:eastAsia="宋体" w:cs="宋体"/>
                <w:color w:val="000000"/>
                <w:kern w:val="0"/>
                <w:szCs w:val="21"/>
              </w:rPr>
              <w:t>82</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对报废机动车回收拆解企业出售的报废机动车“五大总成”及其他零部件不符合相关要求等行为的行政处罚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1.《报废机动车回收管理办法》（2019年国务院令第715号）第十二条、第二十一条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2.《报废机动车回收管理办法实施细则》（商务部令2020年第2号）第二十八条、第二十九条第一款、第五十条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对首次发现报废机动车回收拆解企业出售报废机动车“五大总成”以外的零部件没有标明“报废机动车回用件”，积极配合检查并及时改正的，不予行政处罚。</w:t>
            </w:r>
          </w:p>
        </w:tc>
        <w:tc>
          <w:tcPr>
            <w:tcW w:w="1708" w:type="dxa"/>
            <w:vAlign w:val="center"/>
          </w:tcPr>
          <w:p>
            <w:pPr>
              <w:widowControl/>
              <w:numPr>
                <w:ilvl w:val="0"/>
                <w:numId w:val="2"/>
              </w:numPr>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2.《报废机动车回收管理办法》第二十一条　</w:t>
            </w:r>
          </w:p>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 xml:space="preserve">3.《报废机动车回收管理办法实施细则》第五十条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83</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对报废机动车回收拆解企业未按照要求备案分支机构、分支机构拆解报废机动车行为的行政处罚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1.《报废机动车回收管理办法实施细则》（商务部令2020年第2号）第十五条、第四十二条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对首次发现回收拆解企业未按照要求备案分支机构，积极配合检查并及时改正的，不予行政处罚。</w:t>
            </w:r>
          </w:p>
        </w:tc>
        <w:tc>
          <w:tcPr>
            <w:tcW w:w="1708"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 xml:space="preserve">2.《报废机动车回收管理办法实施细则》第四十二条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84</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对报废机动车回收拆解企业未按照国家有关规定及时向公安机关交通管理部门办理机动车注销登记，并将注销证明转交机动车所有人行为的行政处罚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1.《报废机动车回收管理办法》（2019年国务院令第715号）第九条第一款、第二十二条第一款；</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2.《报废机动车回收管理办法实施细则》（商务部令2020年第2号）第十九条第二款、第四十四条。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对首次发现报废机动车回收拆解企业未按照国家有关规定及时向公安机关交通管理部门办理机动车注销登记、并将注销证明转交机动车所有人，积极配合检查并及时改正的，不予行政处罚。</w:t>
            </w:r>
          </w:p>
        </w:tc>
        <w:tc>
          <w:tcPr>
            <w:tcW w:w="1708" w:type="dxa"/>
            <w:vAlign w:val="center"/>
          </w:tcPr>
          <w:p>
            <w:pPr>
              <w:widowControl/>
              <w:numPr>
                <w:ilvl w:val="0"/>
                <w:numId w:val="3"/>
              </w:numPr>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 xml:space="preserve">2.《报废机动车回收管理办法》第二十二条第一款 </w:t>
            </w:r>
          </w:p>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 xml:space="preserve">3.《报废机动车回收管理办法实施细则》第四十四条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85</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对报废机动车回收拆解企业未按照要求建立报废机动车零部件销售台账并如实记录“五大总成”信息并上传信息系统行为的行政处罚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 xml:space="preserve">1.《报废机动车回收管理办法》（2019年国务院令第715号）第十三条第一款、第二十三条；    </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2.《报废机动车回收管理办法实施细则》（商务部令2020年第2号）第二十六条、第四十八条。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对首次发现报废机动车回收拆解企业未按照要求建立报废机动车零部件销售台账并如实记录“五大总成”信息并上传信息系统，积极配合检查并及时改正的，不予行政处罚。</w:t>
            </w:r>
          </w:p>
        </w:tc>
        <w:tc>
          <w:tcPr>
            <w:tcW w:w="1708" w:type="dxa"/>
            <w:vAlign w:val="center"/>
          </w:tcPr>
          <w:p>
            <w:pPr>
              <w:widowControl/>
              <w:numPr>
                <w:ilvl w:val="0"/>
                <w:numId w:val="4"/>
              </w:numPr>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 xml:space="preserve">2.《报废机动车回收管理办法》第二十三条 </w:t>
            </w:r>
          </w:p>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 xml:space="preserve">3.《报废机动车回收管理办法实施细则》第四十八条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86</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报废机动车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1.《报废机动车回收管理办法实施细则》（商务部令2020年第2号）第二十七条、第四十九条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对首次发现报废机动车回收拆解企业未将报废新能源汽车车辆识别代号及动力蓄电池编码、数量、型号、流向等信息录入有关平台，积极配合检查及时改正的，不予行政处罚。</w:t>
            </w:r>
          </w:p>
        </w:tc>
        <w:tc>
          <w:tcPr>
            <w:tcW w:w="1708"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 xml:space="preserve">2.《报废机动车回收管理办法实施细则》第四十九条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87</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对拍卖企业举办拍卖活动，未按照《拍卖法》及相关法律、行政法规规定的日期进行公告</w:t>
            </w:r>
            <w:bookmarkStart w:id="0" w:name="_GoBack"/>
            <w:bookmarkEnd w:id="0"/>
            <w:r>
              <w:rPr>
                <w:rFonts w:hint="eastAsia" w:asciiTheme="minorEastAsia" w:hAnsiTheme="minorEastAsia" w:cstheme="minorEastAsia"/>
                <w:color w:val="000000"/>
                <w:kern w:val="0"/>
                <w:szCs w:val="21"/>
              </w:rPr>
              <w:t>或者未在拍卖会前展示拍卖标的，为竞买人提供查看拍卖标的条件并向竞买人提供有关资料等行为的行政处罚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1.《拍卖管理办法》（商务部令2004第24号,2019年修正）第二十五条、第二十六条、第四十二条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对首次发现拍卖企业未按照《拍卖法》及相关法律、行政法规规定的日期进行公告，且危害后果轻微并及时改正的，不予行政处罚。</w:t>
            </w:r>
          </w:p>
        </w:tc>
        <w:tc>
          <w:tcPr>
            <w:tcW w:w="1708"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2.《拍卖管理办法》第二十五条、第二十六条、第四十二条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88</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对外国投资者、外商投资企业未依法履行信息报告义务的行为的行政处罚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1.《中华人民共和国外商投资法》（2019年中华人民共和国主席令第26号）第三十四条第一款、第三十七条；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2.《外商投资信息报告办法》（商务部、国家市场监督管理总局令2019年第2号）第八条、第十九条第一款、第二款、第二十五条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外国投资者或者外商投资企业存在未报、错报、漏报，但在商务部门责令改正后于20个工作日内进行补报或更正的，不予行政处罚。</w:t>
            </w:r>
          </w:p>
        </w:tc>
        <w:tc>
          <w:tcPr>
            <w:tcW w:w="1708" w:type="dxa"/>
            <w:vAlign w:val="center"/>
          </w:tcPr>
          <w:p>
            <w:pPr>
              <w:widowControl/>
              <w:numPr>
                <w:ilvl w:val="0"/>
                <w:numId w:val="5"/>
              </w:numPr>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《中华人民共和国行政处罚法》第三十三条。                                                                      </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 xml:space="preserve">2.《中华人民共和国外商投资法》第三十七条 </w:t>
            </w:r>
          </w:p>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3.《外商投资信息报告办法》第二十五条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81</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对对外劳务合作企业未依照《对外劳务合作管理条例》规定缴存或者补足备用金的行为的行政处罚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 .《对外劳务合作管理条例》（2012年国务院令第620号）第九条第一款、第十条第二款、第四十一条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对对外劳务合作企业未在规定时间内按照《对外劳务合作管理条例》规定缴存或者补足备用金，但及时改正的，不予行政处罚。</w:t>
            </w:r>
          </w:p>
        </w:tc>
        <w:tc>
          <w:tcPr>
            <w:tcW w:w="1708"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2.《对外劳务合作管理条例》第四十一条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690" w:type="dxa"/>
            <w:vAlign w:val="center"/>
          </w:tcPr>
          <w:p>
            <w:pPr>
              <w:widowControl/>
              <w:jc w:val="center"/>
              <w:textAlignment w:val="center"/>
              <w:rPr>
                <w:rFonts w:asciiTheme="minorEastAsia" w:hAnsiTheme="minorEastAsia" w:cstheme="minorEastAsia"/>
                <w:bCs/>
                <w:color w:val="000000"/>
                <w:kern w:val="0"/>
                <w:szCs w:val="21"/>
              </w:rPr>
            </w:pPr>
            <w:r>
              <w:rPr>
                <w:rFonts w:hint="eastAsia" w:ascii="Times New Roman" w:hAnsi="Times New Roman" w:eastAsia="宋体" w:cs="宋体"/>
                <w:color w:val="000000"/>
                <w:kern w:val="0"/>
                <w:szCs w:val="21"/>
              </w:rPr>
              <w:t>90</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对外劳务合作企业未安排劳务人员接受培训，组织劳务人员赴国外工作的；未依照《对外劳务合作管理条例》规定为劳务人员购买在国外工作期间的人身意外伤害保险的；未依照《对外劳务合作管理条例》规定安排随行管理人员的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 .《对外劳务合作管理条例》（2012年国务院令第620号）第十二条第一款、第十三条、第十六条第二款、第四十二条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对对外劳务合作企业在限期内对《对外劳务合作管理条例》第四十二条的行为进行改正的情形，不予行政处罚。</w:t>
            </w:r>
          </w:p>
        </w:tc>
        <w:tc>
          <w:tcPr>
            <w:tcW w:w="1708"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2.《对外劳务合作管理条例》第四十二条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heme="minorEastAsia" w:hAnsiTheme="minorEastAsia" w:cstheme="minorEastAsia"/>
                <w:b/>
                <w:color w:val="000000"/>
                <w:kern w:val="0"/>
                <w:szCs w:val="21"/>
              </w:rPr>
            </w:pPr>
            <w:r>
              <w:rPr>
                <w:rFonts w:hint="eastAsia" w:ascii="Times New Roman" w:hAnsi="Times New Roman" w:eastAsia="宋体" w:cs="宋体"/>
                <w:color w:val="000000"/>
                <w:kern w:val="0"/>
                <w:szCs w:val="21"/>
              </w:rPr>
              <w:t>91</w:t>
            </w:r>
          </w:p>
        </w:tc>
        <w:tc>
          <w:tcPr>
            <w:tcW w:w="477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对外劳务合作企业未将服务合同或者劳动合同、劳务合作合同副本以及劳务人员名单报商务主管部门备案的；组织劳务人员出境后，未将有关情况向中国驻用工项目所在国使馆、领馆报告，或者未依照《对外劳务合作管理条例》规定将随行管理人员名单报负责审批的商务主管部门备案的；未制定突发事件应急预案的；停止开展对外劳务合作，未将其对劳务人员的安排方案报商务主管部门备案；对外劳务合作企业拒不将服务合同或者劳动合同、劳务合作合同副本报商务主管部门备案，且合同未载明《对外劳务合作管理条例》规定的必备事项，或者在合同备案后拒不按照商务主管部门的要求补正合同必备事项的行为的行政处罚</w:t>
            </w:r>
          </w:p>
        </w:tc>
        <w:tc>
          <w:tcPr>
            <w:tcW w:w="2817"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《对外劳务合作管理条例》（2012年国务院令第620号）第十四条第二款、第十六条第二款、第十七条、第十九条、第二十六条、第四十五条</w:t>
            </w:r>
          </w:p>
        </w:tc>
        <w:tc>
          <w:tcPr>
            <w:tcW w:w="3286"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对对外劳务合作企业未将服务合同或者劳动合同、劳务合作合同副本以及劳务人员名单报商务主管部门备案；组织劳务人员出境后，未将有关情况向中国驻用工项目所在国使馆、领馆报告，或者未依照本条例规定将随行管理人员名单报负责审批的商务主管部门备案；未制定突发事件应急预案；停止开展对外劳务合作，未将其对劳务人员的安排方案报商务主管部门备案，积极配合检查并及时改正的，不予行政处罚。</w:t>
            </w:r>
          </w:p>
        </w:tc>
        <w:tc>
          <w:tcPr>
            <w:tcW w:w="1708" w:type="dxa"/>
            <w:vAlign w:val="center"/>
          </w:tcPr>
          <w:p>
            <w:pPr>
              <w:widowControl/>
              <w:jc w:val="left"/>
              <w:textAlignment w:val="center"/>
              <w:rPr>
                <w:rFonts w:asciiTheme="minorEastAsia" w:hAnsiTheme="minorEastAsia" w:cstheme="minorEastAsia"/>
                <w:b/>
                <w:color w:val="000000"/>
                <w:kern w:val="0"/>
                <w:szCs w:val="21"/>
              </w:rPr>
            </w:pPr>
            <w:r>
              <w:rPr>
                <w:rFonts w:hint="eastAsia" w:asciiTheme="minorEastAsia" w:hAnsiTheme="minorEastAsia" w:cstheme="minorEastAsia"/>
                <w:color w:val="000000"/>
                <w:kern w:val="0"/>
                <w:szCs w:val="21"/>
              </w:rPr>
              <w:t>1.《中华人民共和国行政处罚法》第三十三条。</w:t>
            </w:r>
            <w:r>
              <w:rPr>
                <w:rFonts w:hint="eastAsia" w:asciiTheme="minorEastAsia" w:hAnsiTheme="minorEastAsia" w:cstheme="minorEastAsia"/>
                <w:color w:val="000000"/>
                <w:kern w:val="0"/>
                <w:szCs w:val="21"/>
              </w:rPr>
              <w:br w:type="textWrapping"/>
            </w:r>
            <w:r>
              <w:rPr>
                <w:rFonts w:hint="eastAsia" w:asciiTheme="minorEastAsia" w:hAnsiTheme="minorEastAsia" w:cstheme="minorEastAsia"/>
                <w:color w:val="000000"/>
                <w:kern w:val="0"/>
                <w:szCs w:val="21"/>
              </w:rPr>
              <w:t>2.《对外劳务合作管理条例》第四十五条</w:t>
            </w:r>
          </w:p>
        </w:tc>
      </w:tr>
    </w:tbl>
    <w:p>
      <w:pPr>
        <w:pStyle w:val="3"/>
        <w:rPr>
          <w:rFonts w:ascii="Times New Roman" w:hAnsi="Times New Roman" w:eastAsia="方正小标宋简体" w:cs="方正小标宋简体"/>
          <w:color w:val="000000"/>
          <w:sz w:val="44"/>
          <w:szCs w:val="44"/>
        </w:rPr>
      </w:pPr>
    </w:p>
    <w:p>
      <w:pPr>
        <w:spacing w:line="560" w:lineRule="exact"/>
        <w:rPr>
          <w:rFonts w:ascii="Times New Roman" w:hAnsi="Times New Roman" w:eastAsia="方正小标宋简体" w:cs="方正小标宋简体"/>
          <w:color w:val="000000"/>
          <w:sz w:val="44"/>
          <w:szCs w:val="44"/>
        </w:rPr>
      </w:pPr>
    </w:p>
    <w:p>
      <w:pPr>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减轻处罚清单</w:t>
      </w:r>
    </w:p>
    <w:tbl>
      <w:tblPr>
        <w:tblStyle w:val="8"/>
        <w:tblW w:w="13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945"/>
        <w:gridCol w:w="2325"/>
        <w:gridCol w:w="2865"/>
        <w:gridCol w:w="1562"/>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77"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序号</w:t>
            </w:r>
          </w:p>
        </w:tc>
        <w:tc>
          <w:tcPr>
            <w:tcW w:w="3945" w:type="dxa"/>
            <w:vAlign w:val="center"/>
          </w:tcPr>
          <w:p>
            <w:pPr>
              <w:spacing w:line="34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事项名称</w:t>
            </w:r>
          </w:p>
        </w:tc>
        <w:tc>
          <w:tcPr>
            <w:tcW w:w="2325"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设定依据</w:t>
            </w:r>
          </w:p>
        </w:tc>
        <w:tc>
          <w:tcPr>
            <w:tcW w:w="2865"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适用情形</w:t>
            </w:r>
          </w:p>
        </w:tc>
        <w:tc>
          <w:tcPr>
            <w:tcW w:w="1562"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减轻处罚依据</w:t>
            </w:r>
          </w:p>
        </w:tc>
        <w:tc>
          <w:tcPr>
            <w:tcW w:w="1871"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1</w:t>
            </w:r>
          </w:p>
        </w:tc>
        <w:tc>
          <w:tcPr>
            <w:tcW w:w="3945"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对商品或者服务不存在；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使用虚构、伪造或者无法验证的科研成果、统计资料、调查结果、文摘、引用语等信息作证明材料；虚构使用商品或者接受服务的效果；以虚假或者引人误解的内容欺骗、误导消费者的其他情形的行为的行政处罚</w:t>
            </w:r>
          </w:p>
        </w:tc>
        <w:tc>
          <w:tcPr>
            <w:tcW w:w="2325"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《中华人民共和国广告法》第四条、</w:t>
            </w:r>
            <w:r>
              <w:rPr>
                <w:rFonts w:hint="eastAsia" w:ascii="Times New Roman" w:hAnsi="Times New Roman" w:eastAsia="宋体" w:cs="Times New Roman"/>
                <w:color w:val="000000"/>
                <w:szCs w:val="21"/>
              </w:rPr>
              <w:t>第二十八条、</w:t>
            </w:r>
            <w:r>
              <w:rPr>
                <w:rFonts w:ascii="Times New Roman" w:hAnsi="Times New Roman" w:eastAsia="宋体" w:cs="Times New Roman"/>
                <w:color w:val="000000"/>
                <w:szCs w:val="21"/>
              </w:rPr>
              <w:t>第五十五条第三款</w:t>
            </w:r>
          </w:p>
        </w:tc>
        <w:tc>
          <w:tcPr>
            <w:tcW w:w="2865" w:type="dxa"/>
          </w:tcPr>
          <w:p>
            <w:pPr>
              <w:pStyle w:val="6"/>
              <w:widowControl/>
              <w:shd w:val="clear" w:color="auto" w:fill="FFFFFF"/>
              <w:spacing w:before="0" w:beforeAutospacing="0" w:after="0" w:afterAutospacing="0" w:line="340" w:lineRule="exact"/>
              <w:jc w:val="both"/>
              <w:rPr>
                <w:rFonts w:eastAsia="宋体" w:cs="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hint="eastAsia" w:eastAsia="宋体" w:cs="宋体"/>
                <w:color w:val="000000"/>
                <w:kern w:val="2"/>
                <w:sz w:val="21"/>
                <w:szCs w:val="21"/>
              </w:rPr>
              <w:t>（本项仅限广告经营者、广告发布者应知广告虚假仍设计、制作、代理、发布的违法行为）</w:t>
            </w:r>
          </w:p>
        </w:tc>
        <w:tc>
          <w:tcPr>
            <w:tcW w:w="1562"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没收广告费用，并处广告费用不超过3倍的罚款，广告费用无法计算或者明显偏低的，处不超过20万元的罚款。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pPr>
              <w:widowControl/>
              <w:spacing w:line="36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2</w:t>
            </w:r>
          </w:p>
        </w:tc>
        <w:tc>
          <w:tcPr>
            <w:tcW w:w="3945" w:type="dxa"/>
            <w:vAlign w:val="center"/>
          </w:tcPr>
          <w:p>
            <w:pPr>
              <w:spacing w:line="360" w:lineRule="exact"/>
              <w:rPr>
                <w:rFonts w:ascii="Times New Roman" w:hAnsi="Times New Roman" w:eastAsia="宋体" w:cs="Times New Roman"/>
                <w:color w:val="000000"/>
                <w:szCs w:val="21"/>
              </w:rPr>
            </w:pPr>
            <w:r>
              <w:rPr>
                <w:rFonts w:hint="eastAsia" w:ascii="Times New Roman" w:hAnsi="Times New Roman" w:eastAsia="宋体" w:cs="宋体"/>
                <w:color w:val="000000"/>
                <w:szCs w:val="21"/>
              </w:rPr>
              <w:t>对在广告中使用“国家级”、“最高级”、“最佳”等用语的行为的</w:t>
            </w:r>
            <w:r>
              <w:rPr>
                <w:rFonts w:hint="eastAsia" w:eastAsia="宋体" w:cs="宋体"/>
                <w:color w:val="000000"/>
                <w:szCs w:val="21"/>
              </w:rPr>
              <w:t>行政</w:t>
            </w:r>
            <w:r>
              <w:rPr>
                <w:rFonts w:hint="eastAsia" w:ascii="Times New Roman" w:hAnsi="Times New Roman" w:eastAsia="宋体" w:cs="宋体"/>
                <w:color w:val="000000"/>
                <w:szCs w:val="21"/>
              </w:rPr>
              <w:t>处罚</w:t>
            </w:r>
          </w:p>
        </w:tc>
        <w:tc>
          <w:tcPr>
            <w:tcW w:w="2325" w:type="dxa"/>
          </w:tcPr>
          <w:p>
            <w:pPr>
              <w:spacing w:line="360" w:lineRule="exact"/>
              <w:rPr>
                <w:rFonts w:ascii="Times New Roman" w:hAnsi="Times New Roman" w:eastAsia="宋体" w:cs="Times New Roman"/>
                <w:color w:val="000000"/>
                <w:szCs w:val="21"/>
              </w:rPr>
            </w:pPr>
            <w:r>
              <w:rPr>
                <w:rFonts w:hint="eastAsia" w:ascii="Times New Roman" w:hAnsi="Times New Roman" w:eastAsia="宋体" w:cs="宋体"/>
                <w:color w:val="000000"/>
                <w:szCs w:val="21"/>
              </w:rPr>
              <w:t>《中华人民共和国广告法》第九条第一款第三项、第五十七条第一款第一项</w:t>
            </w:r>
          </w:p>
        </w:tc>
        <w:tc>
          <w:tcPr>
            <w:tcW w:w="2865" w:type="dxa"/>
          </w:tcPr>
          <w:p>
            <w:pPr>
              <w:pStyle w:val="6"/>
              <w:widowControl/>
              <w:shd w:val="clear" w:color="auto" w:fill="FFFFFF"/>
              <w:spacing w:before="0" w:beforeAutospacing="0" w:after="0" w:afterAutospacing="0" w:line="36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871" w:type="dxa"/>
          </w:tcPr>
          <w:p>
            <w:pPr>
              <w:spacing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处不超过20万元的罚款。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3</w:t>
            </w:r>
          </w:p>
        </w:tc>
        <w:tc>
          <w:tcPr>
            <w:tcW w:w="3945" w:type="dxa"/>
            <w:vAlign w:val="center"/>
          </w:tcPr>
          <w:p>
            <w:pPr>
              <w:spacing w:line="34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对兽药广告内容未列出批准文号的行为的行政处罚</w:t>
            </w:r>
          </w:p>
        </w:tc>
        <w:tc>
          <w:tcPr>
            <w:tcW w:w="2325" w:type="dxa"/>
            <w:vAlign w:val="center"/>
          </w:tcPr>
          <w:p>
            <w:pPr>
              <w:spacing w:line="34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《兽药广告审查发布标准》第十条、第十二条</w:t>
            </w:r>
          </w:p>
        </w:tc>
        <w:tc>
          <w:tcPr>
            <w:tcW w:w="2865" w:type="dxa"/>
          </w:tcPr>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4</w:t>
            </w:r>
          </w:p>
        </w:tc>
        <w:tc>
          <w:tcPr>
            <w:tcW w:w="3945"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对农药广告内容未列出批准文号的行为的行政处罚</w:t>
            </w:r>
          </w:p>
        </w:tc>
        <w:tc>
          <w:tcPr>
            <w:tcW w:w="2325"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《农药广告审查发布标准》第十一条、第十三条</w:t>
            </w:r>
          </w:p>
        </w:tc>
        <w:tc>
          <w:tcPr>
            <w:tcW w:w="2865" w:type="dxa"/>
          </w:tcPr>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5</w:t>
            </w:r>
          </w:p>
        </w:tc>
        <w:tc>
          <w:tcPr>
            <w:tcW w:w="3945"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对生产、经营者将“驰名商标”字样用于商品、商品包装或者容器上，或者用于广告宣传、展览以及其他商业活动中的行为的行政处罚</w:t>
            </w:r>
          </w:p>
        </w:tc>
        <w:tc>
          <w:tcPr>
            <w:tcW w:w="2325"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《中华人民共和国商标法》第十四条第五款、第五十三条</w:t>
            </w:r>
          </w:p>
        </w:tc>
        <w:tc>
          <w:tcPr>
            <w:tcW w:w="2865" w:type="dxa"/>
          </w:tcPr>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处不超过10万元的罚款。</w:t>
            </w:r>
          </w:p>
        </w:tc>
      </w:tr>
    </w:tbl>
    <w:p>
      <w:pPr>
        <w:pStyle w:val="3"/>
      </w:pPr>
    </w:p>
    <w:p>
      <w:pPr>
        <w:pStyle w:val="3"/>
      </w:pPr>
    </w:p>
    <w:p>
      <w:pPr>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从轻处罚清单</w:t>
      </w:r>
    </w:p>
    <w:tbl>
      <w:tblPr>
        <w:tblStyle w:val="8"/>
        <w:tblW w:w="13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4399"/>
        <w:gridCol w:w="1290"/>
        <w:gridCol w:w="3236"/>
        <w:gridCol w:w="1711"/>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60"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序号</w:t>
            </w:r>
          </w:p>
        </w:tc>
        <w:tc>
          <w:tcPr>
            <w:tcW w:w="4399" w:type="dxa"/>
            <w:vAlign w:val="center"/>
          </w:tcPr>
          <w:p>
            <w:pPr>
              <w:spacing w:line="34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事项名称</w:t>
            </w:r>
          </w:p>
        </w:tc>
        <w:tc>
          <w:tcPr>
            <w:tcW w:w="1290"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设定依据</w:t>
            </w:r>
          </w:p>
        </w:tc>
        <w:tc>
          <w:tcPr>
            <w:tcW w:w="3236"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适用情形</w:t>
            </w:r>
          </w:p>
        </w:tc>
        <w:tc>
          <w:tcPr>
            <w:tcW w:w="1711"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减轻处罚依据</w:t>
            </w:r>
          </w:p>
        </w:tc>
        <w:tc>
          <w:tcPr>
            <w:tcW w:w="1923" w:type="dxa"/>
            <w:vAlign w:val="center"/>
          </w:tcPr>
          <w:p>
            <w:pPr>
              <w:spacing w:line="340" w:lineRule="exact"/>
              <w:jc w:val="center"/>
              <w:rPr>
                <w:rFonts w:ascii="Times New Roman" w:hAnsi="Times New Roman" w:eastAsia="方正小标宋简体" w:cs="方正小标宋简体"/>
                <w:color w:val="000000"/>
                <w:szCs w:val="21"/>
              </w:rPr>
            </w:pPr>
            <w:r>
              <w:rPr>
                <w:rFonts w:hint="eastAsia" w:ascii="Times New Roman" w:hAnsi="Times New Roman" w:eastAsia="黑体" w:cs="黑体"/>
                <w:color w:val="000000"/>
                <w:szCs w:val="21"/>
              </w:rPr>
              <w:t>裁量幅度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1</w:t>
            </w:r>
          </w:p>
        </w:tc>
        <w:tc>
          <w:tcPr>
            <w:tcW w:w="4399"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对商品或者服务不存在；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使用虚构、伪造或者无法验证的科研成果、统计资料、调查结果、文摘、引用语等信息作证明材料；虚构使用商品或者接受服务的效果；以虚假或者引人误解的内容欺骗、误导消费者的其他情形的行为的行政处罚</w:t>
            </w:r>
          </w:p>
        </w:tc>
        <w:tc>
          <w:tcPr>
            <w:tcW w:w="1290"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《中华人民共和国广告法》第四条、</w:t>
            </w:r>
            <w:r>
              <w:rPr>
                <w:rFonts w:hint="eastAsia" w:ascii="Times New Roman" w:hAnsi="Times New Roman" w:eastAsia="宋体" w:cs="Times New Roman"/>
                <w:color w:val="000000"/>
                <w:szCs w:val="21"/>
              </w:rPr>
              <w:t>第二十八条、</w:t>
            </w:r>
            <w:r>
              <w:rPr>
                <w:rFonts w:ascii="Times New Roman" w:hAnsi="Times New Roman" w:eastAsia="宋体" w:cs="Times New Roman"/>
                <w:color w:val="000000"/>
                <w:szCs w:val="21"/>
              </w:rPr>
              <w:t>第五十五条第三款</w:t>
            </w:r>
          </w:p>
        </w:tc>
        <w:tc>
          <w:tcPr>
            <w:tcW w:w="3236" w:type="dxa"/>
          </w:tcPr>
          <w:p>
            <w:pPr>
              <w:pStyle w:val="6"/>
              <w:widowControl/>
              <w:shd w:val="clear" w:color="auto" w:fill="FFFFFF"/>
              <w:spacing w:before="0" w:beforeAutospacing="0" w:after="0" w:afterAutospacing="0" w:line="340" w:lineRule="exact"/>
              <w:jc w:val="both"/>
              <w:rPr>
                <w:rFonts w:eastAsia="宋体" w:cs="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hint="eastAsia" w:eastAsia="宋体" w:cs="宋体"/>
                <w:color w:val="000000"/>
                <w:kern w:val="2"/>
                <w:sz w:val="21"/>
                <w:szCs w:val="21"/>
              </w:rPr>
              <w:t>（本项仅限广告经营者、广告发布者应知广告虚假仍设计、制作、代理、发布的违法行为）</w:t>
            </w:r>
          </w:p>
        </w:tc>
        <w:tc>
          <w:tcPr>
            <w:tcW w:w="171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923"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没收广告费用，并处广告费用不超过3倍的罚款，广告费用无法计算或者明显偏低的，处不超过20万元的罚款。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widowControl/>
              <w:spacing w:line="36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2</w:t>
            </w:r>
          </w:p>
        </w:tc>
        <w:tc>
          <w:tcPr>
            <w:tcW w:w="4399" w:type="dxa"/>
            <w:vAlign w:val="center"/>
          </w:tcPr>
          <w:p>
            <w:pPr>
              <w:spacing w:line="360" w:lineRule="exact"/>
              <w:rPr>
                <w:rFonts w:ascii="Times New Roman" w:hAnsi="Times New Roman" w:eastAsia="宋体" w:cs="Times New Roman"/>
                <w:color w:val="000000"/>
                <w:szCs w:val="21"/>
              </w:rPr>
            </w:pPr>
            <w:r>
              <w:rPr>
                <w:rFonts w:hint="eastAsia" w:ascii="Times New Roman" w:hAnsi="Times New Roman" w:eastAsia="宋体" w:cs="宋体"/>
                <w:color w:val="000000"/>
                <w:szCs w:val="21"/>
              </w:rPr>
              <w:t>对在广告中使用“国家级”、“最高级”、“最佳”等用语的行为的</w:t>
            </w:r>
            <w:r>
              <w:rPr>
                <w:rFonts w:hint="eastAsia" w:eastAsia="宋体" w:cs="宋体"/>
                <w:color w:val="000000"/>
                <w:szCs w:val="21"/>
              </w:rPr>
              <w:t>行政</w:t>
            </w:r>
            <w:r>
              <w:rPr>
                <w:rFonts w:hint="eastAsia" w:ascii="Times New Roman" w:hAnsi="Times New Roman" w:eastAsia="宋体" w:cs="宋体"/>
                <w:color w:val="000000"/>
                <w:szCs w:val="21"/>
              </w:rPr>
              <w:t>处罚</w:t>
            </w:r>
          </w:p>
        </w:tc>
        <w:tc>
          <w:tcPr>
            <w:tcW w:w="1290" w:type="dxa"/>
          </w:tcPr>
          <w:p>
            <w:pPr>
              <w:spacing w:line="360" w:lineRule="exact"/>
              <w:rPr>
                <w:rFonts w:ascii="Times New Roman" w:hAnsi="Times New Roman" w:eastAsia="宋体" w:cs="Times New Roman"/>
                <w:color w:val="000000"/>
                <w:szCs w:val="21"/>
              </w:rPr>
            </w:pPr>
            <w:r>
              <w:rPr>
                <w:rFonts w:hint="eastAsia" w:ascii="Times New Roman" w:hAnsi="Times New Roman" w:eastAsia="宋体" w:cs="宋体"/>
                <w:color w:val="000000"/>
                <w:szCs w:val="21"/>
              </w:rPr>
              <w:t>《中华人民共和国广告法》第九条第一款第三项、第五十七条第一款第一项</w:t>
            </w:r>
          </w:p>
        </w:tc>
        <w:tc>
          <w:tcPr>
            <w:tcW w:w="3236" w:type="dxa"/>
          </w:tcPr>
          <w:p>
            <w:pPr>
              <w:pStyle w:val="6"/>
              <w:widowControl/>
              <w:shd w:val="clear" w:color="auto" w:fill="FFFFFF"/>
              <w:spacing w:before="0" w:beforeAutospacing="0" w:after="0" w:afterAutospacing="0" w:line="36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711" w:type="dxa"/>
          </w:tcPr>
          <w:p>
            <w:pPr>
              <w:spacing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923" w:type="dxa"/>
          </w:tcPr>
          <w:p>
            <w:pPr>
              <w:spacing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处不超过20万元的罚款。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3</w:t>
            </w:r>
          </w:p>
        </w:tc>
        <w:tc>
          <w:tcPr>
            <w:tcW w:w="4399" w:type="dxa"/>
            <w:vAlign w:val="center"/>
          </w:tcPr>
          <w:p>
            <w:pPr>
              <w:spacing w:line="34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对兽药广告内容未列出批准文号的行为的行政处罚</w:t>
            </w:r>
          </w:p>
        </w:tc>
        <w:tc>
          <w:tcPr>
            <w:tcW w:w="1290" w:type="dxa"/>
            <w:vAlign w:val="center"/>
          </w:tcPr>
          <w:p>
            <w:pPr>
              <w:spacing w:line="340" w:lineRule="exact"/>
              <w:jc w:val="left"/>
              <w:rPr>
                <w:rFonts w:ascii="Times New Roman" w:hAnsi="Times New Roman" w:eastAsia="宋体" w:cs="宋体"/>
                <w:color w:val="000000"/>
                <w:szCs w:val="21"/>
              </w:rPr>
            </w:pPr>
            <w:r>
              <w:rPr>
                <w:rFonts w:hint="eastAsia" w:ascii="Times New Roman" w:hAnsi="Times New Roman" w:eastAsia="宋体" w:cs="宋体"/>
                <w:color w:val="000000"/>
                <w:szCs w:val="21"/>
              </w:rPr>
              <w:t>《兽药广告审查发布标准》第十条、第十二条</w:t>
            </w:r>
          </w:p>
        </w:tc>
        <w:tc>
          <w:tcPr>
            <w:tcW w:w="3236" w:type="dxa"/>
          </w:tcPr>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71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923"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4</w:t>
            </w:r>
          </w:p>
        </w:tc>
        <w:tc>
          <w:tcPr>
            <w:tcW w:w="4399"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对农药广告内容未列出批准文号的行为的行政处罚</w:t>
            </w:r>
          </w:p>
        </w:tc>
        <w:tc>
          <w:tcPr>
            <w:tcW w:w="1290"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《农药广告审查发布标准》第十一条、第十三条</w:t>
            </w:r>
          </w:p>
        </w:tc>
        <w:tc>
          <w:tcPr>
            <w:tcW w:w="3236" w:type="dxa"/>
          </w:tcPr>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71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923"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vAlign w:val="center"/>
          </w:tcPr>
          <w:p>
            <w:pPr>
              <w:widowControl/>
              <w:spacing w:line="340" w:lineRule="exact"/>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宋体"/>
                <w:color w:val="000000"/>
                <w:kern w:val="0"/>
                <w:szCs w:val="21"/>
              </w:rPr>
              <w:t>5</w:t>
            </w:r>
          </w:p>
        </w:tc>
        <w:tc>
          <w:tcPr>
            <w:tcW w:w="4399"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对生产、经营者将“驰名商标”字样用于商品、商品包装或者容器上，或者用于广告宣传、展览以及其他商业活动中的行为的行政处罚</w:t>
            </w:r>
          </w:p>
        </w:tc>
        <w:tc>
          <w:tcPr>
            <w:tcW w:w="1290" w:type="dxa"/>
            <w:vAlign w:val="center"/>
          </w:tcPr>
          <w:p>
            <w:pPr>
              <w:spacing w:line="340" w:lineRule="exact"/>
              <w:jc w:val="left"/>
              <w:rPr>
                <w:rFonts w:ascii="Times New Roman" w:hAnsi="Times New Roman" w:eastAsia="宋体" w:cs="Times New Roman"/>
                <w:color w:val="000000"/>
                <w:szCs w:val="21"/>
              </w:rPr>
            </w:pPr>
            <w:r>
              <w:rPr>
                <w:rFonts w:hint="eastAsia" w:ascii="Times New Roman" w:hAnsi="Times New Roman" w:eastAsia="宋体" w:cs="宋体"/>
                <w:color w:val="000000"/>
                <w:szCs w:val="21"/>
              </w:rPr>
              <w:t>《中华人民共和国商标法》第十四条第五款、第五十三条</w:t>
            </w:r>
          </w:p>
        </w:tc>
        <w:tc>
          <w:tcPr>
            <w:tcW w:w="3236" w:type="dxa"/>
          </w:tcPr>
          <w:p>
            <w:pPr>
              <w:pStyle w:val="6"/>
              <w:widowControl/>
              <w:shd w:val="clear" w:color="auto" w:fill="FFFFFF"/>
              <w:spacing w:before="0" w:beforeAutospacing="0" w:after="0" w:afterAutospacing="0" w:line="340" w:lineRule="exact"/>
              <w:jc w:val="both"/>
              <w:rPr>
                <w:rFonts w:eastAsia="宋体"/>
                <w:color w:val="000000"/>
                <w:kern w:val="2"/>
                <w:sz w:val="21"/>
                <w:szCs w:val="21"/>
              </w:rPr>
            </w:pPr>
            <w:r>
              <w:rPr>
                <w:rFonts w:eastAsia="宋体"/>
                <w:color w:val="000000"/>
                <w:kern w:val="2"/>
                <w:sz w:val="21"/>
                <w:szCs w:val="21"/>
              </w:rPr>
              <w:t>存在以下两种以上情形的：</w:t>
            </w:r>
            <w:r>
              <w:rPr>
                <w:rFonts w:hint="eastAsia" w:eastAsia="宋体" w:cs="宋体"/>
                <w:color w:val="000000"/>
                <w:kern w:val="2"/>
                <w:sz w:val="21"/>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711"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《中华人民共和国行政处罚法》</w:t>
            </w:r>
            <w:r>
              <w:rPr>
                <w:rFonts w:hint="eastAsia" w:ascii="Times New Roman" w:hAnsi="Times New Roman" w:eastAsia="宋体" w:cs="Times New Roman"/>
                <w:color w:val="000000"/>
                <w:szCs w:val="21"/>
              </w:rPr>
              <w:t>第三十条、</w:t>
            </w:r>
            <w:r>
              <w:rPr>
                <w:rFonts w:ascii="Times New Roman" w:hAnsi="Times New Roman" w:eastAsia="宋体" w:cs="Times New Roman"/>
                <w:color w:val="000000"/>
                <w:szCs w:val="21"/>
              </w:rPr>
              <w:t>第三十二条、《广东省规范行政处罚自由裁量权规定》第十四条</w:t>
            </w:r>
          </w:p>
        </w:tc>
        <w:tc>
          <w:tcPr>
            <w:tcW w:w="1923" w:type="dxa"/>
          </w:tcPr>
          <w:p>
            <w:pPr>
              <w:spacing w:line="34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处不超过10万元的罚款。</w:t>
            </w:r>
          </w:p>
        </w:tc>
      </w:tr>
    </w:tbl>
    <w:p>
      <w:pPr>
        <w:pStyle w:val="3"/>
      </w:pPr>
    </w:p>
    <w:p>
      <w:pPr>
        <w:pStyle w:val="3"/>
        <w:jc w:val="center"/>
        <w:rPr>
          <w:rFonts w:ascii="方正小标宋简体" w:hAnsi="方正小标宋简体" w:eastAsia="方正小标宋简体" w:cs="方正小标宋简体"/>
          <w:sz w:val="44"/>
          <w:szCs w:val="44"/>
        </w:rPr>
      </w:pPr>
    </w:p>
    <w:p>
      <w:pPr>
        <w:pStyle w:val="3"/>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免强制清单</w:t>
      </w:r>
    </w:p>
    <w:tbl>
      <w:tblPr>
        <w:tblStyle w:val="8"/>
        <w:tblW w:w="13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519"/>
        <w:gridCol w:w="2100"/>
        <w:gridCol w:w="4787"/>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2" w:type="dxa"/>
            <w:vAlign w:val="center"/>
          </w:tcPr>
          <w:p>
            <w:pPr>
              <w:spacing w:line="4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序号</w:t>
            </w:r>
          </w:p>
        </w:tc>
        <w:tc>
          <w:tcPr>
            <w:tcW w:w="3519" w:type="dxa"/>
            <w:vAlign w:val="center"/>
          </w:tcPr>
          <w:p>
            <w:pPr>
              <w:spacing w:line="4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事项名称</w:t>
            </w:r>
          </w:p>
        </w:tc>
        <w:tc>
          <w:tcPr>
            <w:tcW w:w="2100" w:type="dxa"/>
            <w:vAlign w:val="center"/>
          </w:tcPr>
          <w:p>
            <w:pPr>
              <w:spacing w:line="4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设定依据</w:t>
            </w:r>
          </w:p>
        </w:tc>
        <w:tc>
          <w:tcPr>
            <w:tcW w:w="4787" w:type="dxa"/>
            <w:vAlign w:val="center"/>
          </w:tcPr>
          <w:p>
            <w:pPr>
              <w:spacing w:line="4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适用情形</w:t>
            </w:r>
          </w:p>
        </w:tc>
        <w:tc>
          <w:tcPr>
            <w:tcW w:w="2078" w:type="dxa"/>
            <w:vAlign w:val="center"/>
          </w:tcPr>
          <w:p>
            <w:pPr>
              <w:spacing w:line="400" w:lineRule="exact"/>
              <w:jc w:val="center"/>
              <w:rPr>
                <w:rFonts w:ascii="Times New Roman" w:hAnsi="Times New Roman" w:eastAsia="黑体" w:cs="黑体"/>
                <w:color w:val="000000"/>
                <w:szCs w:val="21"/>
              </w:rPr>
            </w:pPr>
            <w:r>
              <w:rPr>
                <w:rFonts w:hint="eastAsia" w:ascii="Times New Roman" w:hAnsi="Times New Roman" w:eastAsia="黑体" w:cs="黑体"/>
                <w:color w:val="000000"/>
                <w:szCs w:val="21"/>
              </w:rPr>
              <w:t>免强制依据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dxa"/>
            <w:vAlign w:val="center"/>
          </w:tcPr>
          <w:p>
            <w:pPr>
              <w:pStyle w:val="6"/>
              <w:widowControl/>
              <w:shd w:val="clear" w:color="auto" w:fill="FFFFFF"/>
              <w:spacing w:before="0" w:beforeAutospacing="0" w:after="0" w:afterAutospacing="0" w:line="400" w:lineRule="exact"/>
              <w:jc w:val="center"/>
              <w:rPr>
                <w:rFonts w:eastAsia="宋体"/>
                <w:color w:val="000000"/>
                <w:kern w:val="2"/>
                <w:sz w:val="21"/>
                <w:szCs w:val="21"/>
              </w:rPr>
            </w:pPr>
            <w:r>
              <w:rPr>
                <w:rFonts w:hint="eastAsia" w:eastAsia="宋体"/>
                <w:color w:val="000000"/>
                <w:kern w:val="2"/>
                <w:sz w:val="21"/>
                <w:szCs w:val="21"/>
              </w:rPr>
              <w:t>1</w:t>
            </w:r>
          </w:p>
        </w:tc>
        <w:tc>
          <w:tcPr>
            <w:tcW w:w="3519"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对与直销活动有关的材料和非法财物进行查封等行政强制</w:t>
            </w:r>
          </w:p>
        </w:tc>
        <w:tc>
          <w:tcPr>
            <w:tcW w:w="2100"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《直销管理条例》第三十五条第一款第四项</w:t>
            </w:r>
          </w:p>
        </w:tc>
        <w:tc>
          <w:tcPr>
            <w:tcW w:w="4787"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直销企业未依照有关规定进行信息报备和披露的，经责令限期改正后及时改正，未造成危害后果，可以采取其他非强制手段达到管理目的。</w:t>
            </w:r>
          </w:p>
        </w:tc>
        <w:tc>
          <w:tcPr>
            <w:tcW w:w="2078"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《行政强制法》第五条、第十六条第二款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2" w:type="dxa"/>
            <w:vAlign w:val="center"/>
          </w:tcPr>
          <w:p>
            <w:pPr>
              <w:pStyle w:val="6"/>
              <w:widowControl/>
              <w:shd w:val="clear" w:color="auto" w:fill="FFFFFF"/>
              <w:spacing w:before="0" w:beforeAutospacing="0" w:after="0" w:afterAutospacing="0" w:line="400" w:lineRule="exact"/>
              <w:jc w:val="center"/>
              <w:rPr>
                <w:rFonts w:eastAsia="宋体"/>
                <w:color w:val="000000"/>
                <w:kern w:val="2"/>
                <w:sz w:val="21"/>
                <w:szCs w:val="21"/>
              </w:rPr>
            </w:pPr>
            <w:r>
              <w:rPr>
                <w:rFonts w:hint="eastAsia" w:eastAsia="宋体"/>
                <w:color w:val="000000"/>
                <w:kern w:val="2"/>
                <w:sz w:val="21"/>
                <w:szCs w:val="21"/>
              </w:rPr>
              <w:t>2</w:t>
            </w:r>
          </w:p>
        </w:tc>
        <w:tc>
          <w:tcPr>
            <w:tcW w:w="3519"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对与直销活动有关的材料和非法财物进行扣押等行政强制</w:t>
            </w:r>
          </w:p>
        </w:tc>
        <w:tc>
          <w:tcPr>
            <w:tcW w:w="2100"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《直销管理条例》第三十五条第一款第四项</w:t>
            </w:r>
          </w:p>
        </w:tc>
        <w:tc>
          <w:tcPr>
            <w:tcW w:w="4787"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直销企业未依照有关规定进行信息报备和披露的，经责令限期改正后及时改正，未造成危害后果，可以采取其他非强制手段达到管理目的。</w:t>
            </w:r>
          </w:p>
        </w:tc>
        <w:tc>
          <w:tcPr>
            <w:tcW w:w="2078" w:type="dxa"/>
          </w:tcPr>
          <w:p>
            <w:pPr>
              <w:pStyle w:val="6"/>
              <w:widowControl/>
              <w:shd w:val="clear" w:color="auto" w:fill="FFFFFF"/>
              <w:spacing w:before="0" w:beforeAutospacing="0" w:after="0" w:afterAutospacing="0" w:line="400" w:lineRule="exact"/>
              <w:rPr>
                <w:rFonts w:eastAsia="宋体"/>
                <w:color w:val="000000"/>
                <w:kern w:val="2"/>
                <w:sz w:val="21"/>
                <w:szCs w:val="21"/>
              </w:rPr>
            </w:pPr>
            <w:r>
              <w:rPr>
                <w:rFonts w:hint="eastAsia" w:eastAsia="宋体"/>
                <w:color w:val="000000"/>
                <w:kern w:val="2"/>
                <w:sz w:val="21"/>
                <w:szCs w:val="21"/>
              </w:rPr>
              <w:t>《行政强制法》第五条、第十六条第二款</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29594"/>
    <w:multiLevelType w:val="singleLevel"/>
    <w:tmpl w:val="8D829594"/>
    <w:lvl w:ilvl="0" w:tentative="0">
      <w:start w:val="1"/>
      <w:numFmt w:val="decimal"/>
      <w:lvlText w:val="%1."/>
      <w:lvlJc w:val="left"/>
      <w:pPr>
        <w:tabs>
          <w:tab w:val="left" w:pos="312"/>
        </w:tabs>
      </w:pPr>
    </w:lvl>
  </w:abstractNum>
  <w:abstractNum w:abstractNumId="1">
    <w:nsid w:val="9959B6F9"/>
    <w:multiLevelType w:val="singleLevel"/>
    <w:tmpl w:val="9959B6F9"/>
    <w:lvl w:ilvl="0" w:tentative="0">
      <w:start w:val="1"/>
      <w:numFmt w:val="decimal"/>
      <w:lvlText w:val="%1."/>
      <w:lvlJc w:val="left"/>
      <w:pPr>
        <w:tabs>
          <w:tab w:val="left" w:pos="312"/>
        </w:tabs>
      </w:pPr>
    </w:lvl>
  </w:abstractNum>
  <w:abstractNum w:abstractNumId="2">
    <w:nsid w:val="C7DE299A"/>
    <w:multiLevelType w:val="singleLevel"/>
    <w:tmpl w:val="C7DE299A"/>
    <w:lvl w:ilvl="0" w:tentative="0">
      <w:start w:val="1"/>
      <w:numFmt w:val="decimal"/>
      <w:lvlText w:val="%1."/>
      <w:lvlJc w:val="left"/>
      <w:pPr>
        <w:tabs>
          <w:tab w:val="left" w:pos="312"/>
        </w:tabs>
      </w:pPr>
    </w:lvl>
  </w:abstractNum>
  <w:abstractNum w:abstractNumId="3">
    <w:nsid w:val="2F347918"/>
    <w:multiLevelType w:val="singleLevel"/>
    <w:tmpl w:val="2F347918"/>
    <w:lvl w:ilvl="0" w:tentative="0">
      <w:start w:val="1"/>
      <w:numFmt w:val="decimal"/>
      <w:lvlText w:val="%1."/>
      <w:lvlJc w:val="left"/>
      <w:pPr>
        <w:tabs>
          <w:tab w:val="left" w:pos="312"/>
        </w:tabs>
      </w:pPr>
    </w:lvl>
  </w:abstractNum>
  <w:abstractNum w:abstractNumId="4">
    <w:nsid w:val="6110822D"/>
    <w:multiLevelType w:val="singleLevel"/>
    <w:tmpl w:val="6110822D"/>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275A71"/>
    <w:rsid w:val="00287BFB"/>
    <w:rsid w:val="003746B9"/>
    <w:rsid w:val="004112CB"/>
    <w:rsid w:val="00521DFA"/>
    <w:rsid w:val="005F7581"/>
    <w:rsid w:val="006D4522"/>
    <w:rsid w:val="00787B0A"/>
    <w:rsid w:val="00CF63B0"/>
    <w:rsid w:val="03723A92"/>
    <w:rsid w:val="07B71472"/>
    <w:rsid w:val="16DC20DB"/>
    <w:rsid w:val="171571E5"/>
    <w:rsid w:val="1E6F452D"/>
    <w:rsid w:val="2BD920E9"/>
    <w:rsid w:val="2F356C33"/>
    <w:rsid w:val="3B002019"/>
    <w:rsid w:val="3DCC3765"/>
    <w:rsid w:val="3FCA7476"/>
    <w:rsid w:val="52BC4CD0"/>
    <w:rsid w:val="59EF53A1"/>
    <w:rsid w:val="62B25742"/>
    <w:rsid w:val="66375BBC"/>
    <w:rsid w:val="6768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cs="Times New Roman"/>
    </w:rPr>
  </w:style>
  <w:style w:type="paragraph" w:styleId="3">
    <w:name w:val="Plain Text"/>
    <w:basedOn w:val="1"/>
    <w:qFormat/>
    <w:uiPriority w:val="0"/>
    <w:rPr>
      <w:rFonts w:ascii="宋体" w:hAnsi="Courier New" w:cs="宋体"/>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hAnsi="Times New Roman" w:eastAsia="仿宋_GB2312" w:cs="Times New Roman"/>
      <w:kern w:val="0"/>
      <w:sz w:val="24"/>
    </w:rPr>
  </w:style>
  <w:style w:type="table" w:styleId="8">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page number"/>
    <w:basedOn w:val="9"/>
    <w:qFormat/>
    <w:uiPriority w:val="0"/>
  </w:style>
  <w:style w:type="character" w:customStyle="1" w:styleId="11">
    <w:name w:val="font11"/>
    <w:basedOn w:val="9"/>
    <w:qFormat/>
    <w:uiPriority w:val="0"/>
    <w:rPr>
      <w:rFonts w:hint="eastAsia" w:ascii="宋体" w:hAnsi="宋体" w:eastAsia="宋体" w:cs="宋体"/>
      <w:color w:val="000000"/>
      <w:sz w:val="22"/>
      <w:szCs w:val="22"/>
      <w:u w:val="none"/>
    </w:rPr>
  </w:style>
  <w:style w:type="character" w:customStyle="1" w:styleId="12">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2740</Words>
  <Characters>15621</Characters>
  <Lines>130</Lines>
  <Paragraphs>36</Paragraphs>
  <TotalTime>17</TotalTime>
  <ScaleCrop>false</ScaleCrop>
  <LinksUpToDate>false</LinksUpToDate>
  <CharactersWithSpaces>18325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2022-08-16T01:13:00Z</dcterms:created>
  <dc:creator>娄娅</dc:creator>
  <cp:lastModifiedBy>梁振铿</cp:lastModifiedBy>
  <dcterms:modified xsi:type="dcterms:W3CDTF">2025-12-28T15:14:02Z</dcterms:modified>
  <dc:title>东莞市市场监督管理局行政执法减免责清单（2022年）</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43D9228A63A1428090E00D5810FA8642</vt:lpwstr>
  </property>
</Properties>
</file>