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color w:val="000000" w:themeColor="text1"/>
          <w:sz w:val="24"/>
        </w:rPr>
        <w:t>有限责任公司公司情形12：只有一个股东，设董事会、审计委员会、经理，不设监事</w:t>
      </w: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outlineLvl w:val="0"/>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rPr>
        <w:t xml:space="preserve">                </w:t>
      </w:r>
      <w:r>
        <w:rPr>
          <w:rFonts w:hint="eastAsia" w:ascii="黑体" w:hAnsi="黑体" w:eastAsia="黑体" w:cs="黑体"/>
          <w:b/>
          <w:color w:val="000000" w:themeColor="text1"/>
          <w:kern w:val="0"/>
          <w:sz w:val="32"/>
          <w:szCs w:val="32"/>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8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本章程为本公司行为准则，对公司、股东、董事、高级管理人员具有约束力。</w:t>
      </w:r>
    </w:p>
    <w:p>
      <w:pPr>
        <w:spacing w:line="480" w:lineRule="exact"/>
        <w:jc w:val="center"/>
        <w:rPr>
          <w:rFonts w:ascii="仿宋_GB2312" w:hAnsi="仿宋_GB2312" w:eastAsia="仿宋_GB2312" w:cs="仿宋_GB2312"/>
          <w:b/>
          <w:kern w:val="0"/>
          <w:sz w:val="28"/>
          <w:szCs w:val="28"/>
        </w:rPr>
      </w:pPr>
    </w:p>
    <w:p>
      <w:pPr>
        <w:spacing w:line="48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80" w:lineRule="exact"/>
        <w:ind w:firstLine="554"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rPr>
        <w:t>许可项目：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p>
    <w:p>
      <w:pPr>
        <w:spacing w:line="48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（依法须经批准的项目，经相关部门批准后方可开展经营活动，具体经营项目以相关部门批准文件或许可证件为准）</w:t>
      </w:r>
    </w:p>
    <w:p>
      <w:pPr>
        <w:kinsoku w:val="0"/>
        <w:overflowPunct w:val="0"/>
        <w:spacing w:line="480" w:lineRule="exact"/>
        <w:ind w:firstLine="552" w:firstLineChars="200"/>
        <w:rPr>
          <w:rFonts w:ascii="仿宋_GB2312" w:hAnsi="仿宋_GB2312" w:eastAsia="仿宋_GB2312" w:cs="仿宋_GB2312"/>
          <w:bCs/>
          <w:iCs/>
          <w:color w:val="000000" w:themeColor="text1"/>
          <w:sz w:val="28"/>
          <w:szCs w:val="28"/>
          <w:u w:val="single"/>
        </w:rPr>
      </w:pPr>
      <w:r>
        <w:rPr>
          <w:rFonts w:hint="eastAsia" w:ascii="仿宋_GB2312" w:hAnsi="仿宋_GB2312" w:eastAsia="仿宋_GB2312" w:cs="仿宋_GB2312"/>
          <w:color w:val="000000" w:themeColor="text1"/>
          <w:spacing w:val="-2"/>
          <w:kern w:val="0"/>
          <w:sz w:val="28"/>
          <w:szCs w:val="28"/>
        </w:rPr>
        <w:t>一般项目：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r>
        <w:rPr>
          <w:rFonts w:hint="eastAsia" w:ascii="仿宋_GB2312" w:hAnsi="仿宋_GB2312" w:eastAsia="仿宋_GB2312" w:cs="仿宋_GB2312"/>
          <w:color w:val="000000" w:themeColor="text1"/>
          <w:spacing w:val="-2"/>
          <w:kern w:val="0"/>
          <w:sz w:val="28"/>
          <w:szCs w:val="28"/>
        </w:rPr>
        <w:br w:type="textWrapping"/>
      </w:r>
      <w:r>
        <w:rPr>
          <w:rFonts w:hint="eastAsia" w:ascii="仿宋_GB2312" w:hAnsi="仿宋_GB2312" w:eastAsia="仿宋_GB2312" w:cs="仿宋_GB2312"/>
          <w:color w:val="000000" w:themeColor="text1"/>
          <w:spacing w:val="-2"/>
          <w:kern w:val="0"/>
          <w:sz w:val="28"/>
          <w:szCs w:val="28"/>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rPr>
        <w:t xml:space="preserve"> </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rPr>
        <w:t>长期</w:t>
      </w:r>
      <w:r>
        <w:rPr>
          <w:rFonts w:hint="eastAsia" w:ascii="仿宋_GB2312" w:hAnsi="仿宋_GB2312" w:eastAsia="仿宋_GB2312" w:cs="仿宋_GB2312"/>
          <w:spacing w:val="-2"/>
          <w:kern w:val="0"/>
          <w:sz w:val="28"/>
          <w:szCs w:val="28"/>
        </w:rPr>
        <w:t>，自公司营业执照签发之日起计。</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8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80" w:lineRule="exact"/>
        <w:ind w:firstLine="629"/>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（四）按有关规定质押所持有的股权；</w:t>
      </w:r>
    </w:p>
    <w:p>
      <w:pPr>
        <w:spacing w:line="48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五）有权查阅、复制公司章程、股东名册、股东决定、董事会决议、审计委员会会议决议、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3.实行注册资本认缴登记制的公司，在股东缴纳出资后应当依法公示；可以将缴纳情况记载于本条，并依法向公司登记机关备案本章程。</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5.公司变更注册资本的，应当将本条修改为注册资本变更后对应的股东认缴的出资额、出资时间和出资方式。每一次增资必须单列一条认缴记录，可修改为“于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6.因公司合并、分立而存续或者新设的公司，其股东认缴的出资额，由合并协议、分立决议或者决定约定。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股东约定的各自的出资额、出资时间和出资方式。（一）股东的出资总额等于原非公司企业法人的净资产，出资方式为净资产出资，出资时间为改制日期。（二）净资产为负值时，股东应当补足负值，并按公司注册资本总额认缴出资。（三）改制后的注册资本总额大于净资产的，应当以认缴增资方式出资。）</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股东应当按期足额缴纳公司章程规定的认缴出资额。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公司成立后，发现作为设立公司出资的非货币财产的实际价额显著低于所认缴的出资额的，应当由股东补足其差额。</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违反前款规定的，股东应当返还抽逃的出资；给公司造成损失的，负有责任的董事、高级管理人员应当与股东承担连带赔偿责任。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80" w:lineRule="exact"/>
        <w:ind w:firstLine="560" w:firstLineChars="200"/>
        <w:rPr>
          <w:rFonts w:ascii="仿宋_GB2312" w:hAnsi="仿宋_GB2312" w:eastAsia="仿宋_GB2312" w:cs="仿宋_GB2312"/>
          <w:iCs/>
          <w:color w:val="FF0000"/>
          <w:sz w:val="28"/>
          <w:szCs w:val="28"/>
        </w:rPr>
      </w:pPr>
    </w:p>
    <w:p>
      <w:pPr>
        <w:spacing w:line="48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第二十五条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股东委派</w:t>
      </w:r>
      <w:r>
        <w:rPr>
          <w:rFonts w:hint="eastAsia" w:ascii="仿宋_GB2312" w:hAnsi="仿宋_GB2312" w:eastAsia="仿宋_GB2312" w:cs="仿宋_GB2312"/>
          <w:spacing w:val="-2"/>
          <w:kern w:val="0"/>
          <w:sz w:val="28"/>
          <w:szCs w:val="28"/>
        </w:rPr>
        <w:t>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（1.适用于法定代表人由代表公司执行公司事务的董事担任。2.注：执行公司事务的董事可以由董事会或者其他机构选举或其他方式产生，并修改本款。）</w:t>
      </w:r>
    </w:p>
    <w:p>
      <w:pPr>
        <w:spacing w:line="480" w:lineRule="exact"/>
        <w:ind w:firstLine="552" w:firstLineChars="200"/>
        <w:rPr>
          <w:rFonts w:ascii="仿宋_GB2312" w:hAnsi="仿宋_GB2312" w:eastAsia="仿宋_GB2312" w:cs="仿宋_GB2312"/>
          <w:color w:val="FF0000"/>
          <w:spacing w:val="-2"/>
          <w:kern w:val="0"/>
          <w:sz w:val="28"/>
          <w:szCs w:val="28"/>
        </w:rPr>
      </w:pP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rPr>
        <w:t>经理</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80" w:lineRule="exact"/>
        <w:ind w:firstLine="552" w:firstLineChars="200"/>
        <w:rPr>
          <w:rFonts w:ascii="仿宋_GB2312" w:hAnsi="仿宋_GB2312" w:eastAsia="仿宋_GB2312" w:cs="仿宋_GB2312"/>
          <w:color w:val="FF0000"/>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法定代表人应当遵守法律、行政法规以及本章程的规定，不得滥用职权，不得作出违背公司股东决定、董事会决议的行为，不得违反对公司的忠实义务和勤勉义务。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（二）法定代表人由执行公司事务的董事或经理担任，但其丧失董事或经理资格的；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ascii="仿宋_GB2312" w:hAnsi="仿宋_GB2312" w:eastAsia="仿宋_GB2312" w:cs="仿宋_GB2312"/>
          <w:b/>
          <w:kern w:val="0"/>
          <w:sz w:val="28"/>
          <w:szCs w:val="28"/>
        </w:rPr>
      </w:pPr>
    </w:p>
    <w:p>
      <w:pPr>
        <w:spacing w:line="48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第三十条 </w:t>
      </w:r>
      <w:r>
        <w:rPr>
          <w:rFonts w:hint="eastAsia" w:ascii="仿宋_GB2312" w:hAnsi="仿宋_GB2312" w:eastAsia="仿宋_GB2312" w:cs="仿宋_GB2312"/>
          <w:spacing w:val="-2"/>
          <w:kern w:val="0"/>
          <w:sz w:val="28"/>
          <w:szCs w:val="28"/>
        </w:rPr>
        <w:t>公司不设股东会。股东行使下列职权：</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（一）委派和更换董事，决定有关董事的报酬事项；</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（二）审议批准董事会、审计委员会的报告；</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（三）审议批准公司的利润分配方案和弥补亏损方案；</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（四）对公司增加或者减少注册资本作出决议；</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（五）对发行公司债券作出决议；</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（六）对公司合并、分立、解散、清算或者变更公司形式作出决议；</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（七）修改公司章程。</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股东可以授权董事会对发行公司债券作出决议。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第三十一条</w:t>
      </w:r>
      <w:r>
        <w:rPr>
          <w:rFonts w:hint="eastAsia" w:ascii="仿宋_GB2312" w:hAnsi="仿宋_GB2312" w:eastAsia="仿宋_GB2312" w:cs="仿宋_GB2312"/>
          <w:color w:val="FF0000"/>
          <w:spacing w:val="-2"/>
          <w:kern w:val="0"/>
          <w:sz w:val="28"/>
          <w:szCs w:val="28"/>
        </w:rPr>
        <w:t xml:space="preserve"> 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人，由股东委派产生。</w:t>
      </w:r>
      <w:r>
        <w:rPr>
          <w:rFonts w:hint="eastAsia" w:ascii="仿宋_GB2312" w:hAnsi="仿宋_GB2312" w:eastAsia="仿宋_GB2312" w:cs="仿宋_GB2312"/>
          <w:color w:val="FF0000"/>
          <w:spacing w:val="-2"/>
          <w:kern w:val="0"/>
          <w:sz w:val="28"/>
          <w:szCs w:val="28"/>
        </w:rPr>
        <w:t>（适用于董事会成员中无职工代表董事）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8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由股东委派产生，职工代表的董事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bCs/>
          <w:spacing w:val="-2"/>
          <w:kern w:val="0"/>
          <w:sz w:val="28"/>
          <w:szCs w:val="28"/>
        </w:rPr>
        <w:t>第三十二条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80" w:lineRule="exact"/>
        <w:ind w:firstLine="554"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第三十三条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80" w:lineRule="exact"/>
        <w:outlineLvl w:val="1"/>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2.董事长、副董事长可以由股东委派或其他方式产生，并修改本条。）</w:t>
      </w:r>
    </w:p>
    <w:p>
      <w:pPr>
        <w:spacing w:line="480" w:lineRule="exact"/>
        <w:ind w:firstLine="554"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第三十四条</w:t>
      </w:r>
      <w:r>
        <w:rPr>
          <w:rFonts w:hint="eastAsia" w:ascii="仿宋_GB2312" w:hAnsi="仿宋_GB2312" w:eastAsia="仿宋_GB2312" w:cs="仿宋_GB2312"/>
          <w:spacing w:val="-2"/>
          <w:kern w:val="0"/>
          <w:sz w:val="28"/>
          <w:szCs w:val="28"/>
        </w:rPr>
        <w:t xml:space="preserve"> 董事会行使下列职权：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（七）决定聘任或者解聘公司经理及其报酬事项，并根据经理的提名决定聘任或者解聘公司副经理、财务负责人及其报酬事项；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第三十五条</w:t>
      </w:r>
      <w:r>
        <w:rPr>
          <w:rFonts w:hint="eastAsia" w:ascii="仿宋_GB2312" w:hAnsi="仿宋_GB2312" w:eastAsia="仿宋_GB2312" w:cs="仿宋_GB2312"/>
          <w:spacing w:val="-2"/>
          <w:kern w:val="0"/>
          <w:sz w:val="28"/>
          <w:szCs w:val="28"/>
        </w:rPr>
        <w:t xml:space="preserve"> 董事会的议事方式和表决程序：</w:t>
      </w:r>
    </w:p>
    <w:p>
      <w:pPr>
        <w:spacing w:line="460" w:lineRule="exact"/>
        <w:ind w:left="559" w:leftChars="266"/>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80" w:lineRule="exact"/>
        <w:ind w:firstLine="56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设经理，由董事会聘任产生。</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经理列席董事会会议。</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公司在董事会中设置由董事组成的审计委员会，</w:t>
      </w:r>
      <w:r>
        <w:rPr>
          <w:rFonts w:hint="eastAsia" w:ascii="仿宋_GB2312" w:hAnsi="仿宋_GB2312" w:eastAsia="仿宋_GB2312" w:cs="仿宋_GB2312"/>
          <w:sz w:val="28"/>
          <w:szCs w:val="28"/>
        </w:rPr>
        <w:t>成员</w:t>
      </w:r>
      <w:r>
        <w:rPr>
          <w:rFonts w:hint="eastAsia" w:ascii="仿宋_GB2312" w:hAnsi="仿宋_GB2312" w:eastAsia="仿宋_GB2312" w:cs="仿宋_GB2312"/>
          <w:kern w:val="24"/>
          <w:sz w:val="28"/>
          <w:szCs w:val="28"/>
          <w:u w:val="single"/>
        </w:rPr>
        <w:t xml:space="preserve">    </w:t>
      </w:r>
      <w:r>
        <w:rPr>
          <w:rFonts w:hint="eastAsia" w:ascii="仿宋_GB2312" w:hAnsi="仿宋_GB2312" w:eastAsia="仿宋_GB2312" w:cs="仿宋_GB2312"/>
          <w:kern w:val="24"/>
          <w:sz w:val="28"/>
          <w:szCs w:val="28"/>
        </w:rPr>
        <w:t>人</w:t>
      </w:r>
      <w:r>
        <w:rPr>
          <w:rFonts w:hint="eastAsia" w:ascii="仿宋_GB2312" w:hAnsi="仿宋_GB2312" w:eastAsia="仿宋_GB2312" w:cs="仿宋_GB2312"/>
          <w:color w:val="FF0000"/>
          <w:sz w:val="28"/>
          <w:szCs w:val="28"/>
        </w:rPr>
        <w:t>（注：不得超过董事会成员人数）</w:t>
      </w:r>
      <w:r>
        <w:rPr>
          <w:rFonts w:hint="eastAsia" w:ascii="仿宋_GB2312" w:hAnsi="仿宋_GB2312" w:eastAsia="仿宋_GB2312" w:cs="仿宋_GB2312"/>
          <w:sz w:val="28"/>
          <w:szCs w:val="28"/>
        </w:rPr>
        <w:t>，</w:t>
      </w:r>
      <w:r>
        <w:rPr>
          <w:rFonts w:hint="eastAsia" w:ascii="仿宋_GB2312" w:hAnsi="仿宋_GB2312" w:eastAsia="仿宋_GB2312" w:cs="仿宋_GB2312"/>
          <w:spacing w:val="-2"/>
          <w:kern w:val="0"/>
          <w:sz w:val="28"/>
          <w:szCs w:val="28"/>
        </w:rPr>
        <w:t>不设监事会或者监事。公司董事会成员中的职工代表可以成为审计委员会成员。</w:t>
      </w:r>
    </w:p>
    <w:p>
      <w:pPr>
        <w:pStyle w:val="11"/>
        <w:autoSpaceDE w:val="0"/>
        <w:spacing w:beforeAutospacing="0" w:afterAutospacing="0" w:line="480" w:lineRule="exact"/>
        <w:ind w:firstLine="562" w:firstLineChars="200"/>
        <w:rPr>
          <w:rFonts w:hint="default" w:ascii="仿宋_GB2312" w:eastAsia="仿宋_GB2312" w:cs="仿宋_GB2312"/>
          <w:kern w:val="2"/>
          <w:sz w:val="28"/>
          <w:szCs w:val="28"/>
        </w:rPr>
      </w:pPr>
      <w:r>
        <w:rPr>
          <w:rFonts w:ascii="仿宋_GB2312" w:eastAsia="仿宋_GB2312" w:cs="仿宋_GB2312"/>
          <w:b/>
          <w:kern w:val="2"/>
          <w:sz w:val="28"/>
          <w:szCs w:val="28"/>
        </w:rPr>
        <w:t>第</w:t>
      </w:r>
      <w:r>
        <w:rPr>
          <w:rFonts w:ascii="仿宋_GB2312" w:hAnsi="仿宋_GB2312" w:eastAsia="仿宋_GB2312" w:cs="仿宋_GB2312"/>
          <w:b/>
          <w:sz w:val="28"/>
          <w:szCs w:val="28"/>
        </w:rPr>
        <w:t>三十八</w:t>
      </w:r>
      <w:r>
        <w:rPr>
          <w:rFonts w:ascii="仿宋_GB2312" w:eastAsia="仿宋_GB2312" w:cs="仿宋_GB2312"/>
          <w:b/>
          <w:kern w:val="2"/>
          <w:sz w:val="28"/>
          <w:szCs w:val="28"/>
        </w:rPr>
        <w:t>条</w:t>
      </w:r>
      <w:r>
        <w:rPr>
          <w:rFonts w:ascii="仿宋_GB2312" w:eastAsia="仿宋_GB2312" w:cs="仿宋_GB2312"/>
          <w:kern w:val="2"/>
          <w:sz w:val="28"/>
          <w:szCs w:val="28"/>
        </w:rPr>
        <w:t xml:space="preserve">  审计委员会行使下列职权： </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（一）检查公司财务；</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（二）对董事、高级管理人员执行公司职务的行为进行监督，对违反法律、行政法规、公司章程或者股东</w:t>
      </w:r>
      <w:r>
        <w:rPr>
          <w:rFonts w:hint="eastAsia" w:ascii="仿宋_GB2312" w:hAnsi="Times New Roman" w:eastAsia="仿宋_GB2312" w:cs="仿宋_GB2312"/>
          <w:kern w:val="0"/>
          <w:sz w:val="28"/>
          <w:szCs w:val="28"/>
          <w:lang w:eastAsia="zh-CN"/>
        </w:rPr>
        <w:t>决定</w:t>
      </w:r>
      <w:r>
        <w:rPr>
          <w:rFonts w:hint="eastAsia" w:ascii="仿宋_GB2312" w:hAnsi="Times New Roman" w:eastAsia="仿宋_GB2312" w:cs="仿宋_GB2312"/>
          <w:kern w:val="0"/>
          <w:sz w:val="28"/>
          <w:szCs w:val="28"/>
        </w:rPr>
        <w:t>的董事、高级管理人员提出解任的建议；</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（三）当董事、高级管理人员的行为损害公司的利益时， 要求董事、高级管理人员予以纠正；</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（四）向股东提出提案；</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（五）依照《公司法》第一百八十九条的规定，对董事、高级管理人员提起诉讼。</w:t>
      </w:r>
    </w:p>
    <w:p>
      <w:pPr>
        <w:spacing w:line="480" w:lineRule="exact"/>
        <w:ind w:firstLine="560" w:firstLineChars="200"/>
        <w:rPr>
          <w:rFonts w:ascii="仿宋_GB2312" w:hAnsi="Times New Roman" w:eastAsia="仿宋_GB2312" w:cs="仿宋_GB2312"/>
          <w:color w:val="FF0000"/>
          <w:sz w:val="28"/>
          <w:szCs w:val="28"/>
        </w:rPr>
      </w:pPr>
      <w:r>
        <w:rPr>
          <w:rFonts w:hint="eastAsia" w:ascii="仿宋_GB2312" w:hAnsi="Times New Roman" w:eastAsia="仿宋_GB2312" w:cs="仿宋_GB2312"/>
          <w:color w:val="FF0000"/>
          <w:sz w:val="28"/>
          <w:szCs w:val="28"/>
        </w:rPr>
        <w:t>（注：可以约定审计委员会的其他职权，并记载于本条。）</w:t>
      </w:r>
    </w:p>
    <w:p>
      <w:pPr>
        <w:spacing w:line="480" w:lineRule="exact"/>
        <w:ind w:firstLine="831" w:firstLineChars="300"/>
        <w:rPr>
          <w:rFonts w:ascii="仿宋_GB2312" w:hAnsi="仿宋_GB2312" w:eastAsia="仿宋_GB2312" w:cs="仿宋_GB2312"/>
          <w:b/>
          <w:bCs/>
          <w:color w:val="000000" w:themeColor="text1"/>
          <w:spacing w:val="-2"/>
          <w:kern w:val="0"/>
          <w:sz w:val="28"/>
          <w:szCs w:val="28"/>
        </w:rPr>
      </w:pPr>
    </w:p>
    <w:p>
      <w:pPr>
        <w:spacing w:line="480" w:lineRule="exact"/>
        <w:jc w:val="center"/>
        <w:outlineLvl w:val="0"/>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rPr>
        <w:t>第八章  公司董事、高级管理人员资格和义务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第三十九条 </w:t>
      </w:r>
      <w:r>
        <w:rPr>
          <w:rFonts w:hint="eastAsia" w:ascii="仿宋_GB2312" w:hAnsi="仿宋_GB2312" w:eastAsia="仿宋_GB2312" w:cs="仿宋_GB2312"/>
          <w:spacing w:val="-2"/>
          <w:kern w:val="0"/>
          <w:sz w:val="28"/>
          <w:szCs w:val="28"/>
        </w:rPr>
        <w:t>有下列情形之一的，不得担任公司的董事、高级管理人员：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第四十条</w:t>
      </w:r>
      <w:r>
        <w:rPr>
          <w:rFonts w:hint="eastAsia" w:ascii="仿宋_GB2312" w:hAnsi="仿宋_GB2312" w:eastAsia="仿宋_GB2312" w:cs="仿宋_GB2312"/>
          <w:spacing w:val="-2"/>
          <w:kern w:val="0"/>
          <w:sz w:val="28"/>
          <w:szCs w:val="28"/>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董事、高级管理人员不得有下列行为：</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第四十二条 </w:t>
      </w:r>
      <w:r>
        <w:rPr>
          <w:rFonts w:hint="eastAsia" w:ascii="仿宋_GB2312" w:hAnsi="仿宋_GB2312" w:eastAsia="仿宋_GB2312" w:cs="仿宋_GB2312"/>
          <w:spacing w:val="-2"/>
          <w:kern w:val="0"/>
          <w:sz w:val="28"/>
          <w:szCs w:val="28"/>
        </w:rPr>
        <w:t>董事、高级管理人员，直接或者间接与本公司订立合同或者进行交易，应当就与订立合同或者进行交易有关的事项向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董事、高级管理人员的近亲属，董事、高级管理人员或者其近亲属直接或者间接控制的企业，以及与董事、高级管理人员有其他关联关系的关联人，与公司订立合同或者进行交易，适用前款规定。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第四十三条 </w:t>
      </w:r>
      <w:r>
        <w:rPr>
          <w:rFonts w:hint="eastAsia" w:ascii="仿宋_GB2312" w:hAnsi="仿宋_GB2312" w:eastAsia="仿宋_GB2312" w:cs="仿宋_GB2312"/>
          <w:spacing w:val="-2"/>
          <w:kern w:val="0"/>
          <w:sz w:val="28"/>
          <w:szCs w:val="28"/>
        </w:rPr>
        <w:t>董事、高级管理人员，不得利用职务便利为自己或者他人谋取属于公司的商业机会。但是，有下列情形之一的除外：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spacing w:val="-2"/>
          <w:kern w:val="0"/>
          <w:sz w:val="28"/>
          <w:szCs w:val="28"/>
        </w:rPr>
        <w:t>董事、高级管理人员未向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董事会对本章程第四十二条至第四十四条规定的事项决议时，关联董事不得参与表决，其表决权不计入表决权总数。出席董事会会议的无关联关系董事人数不足三人的，应当将该事项提交股东审议。</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董事、高级管理人员违反《公司法》第一百八十一条至第一百八十四条规定所得的收入应当归公司所有。</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董事、高级管理人员执行职务违反法律、行政法规或者公司章程的规定，给公司造成损失的，应当承担赔偿责任。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九</w:t>
      </w:r>
      <w:r>
        <w:rPr>
          <w:rFonts w:hint="eastAsia" w:ascii="黑体" w:hAnsi="黑体" w:eastAsia="黑体" w:cs="黑体"/>
          <w:b/>
          <w:kern w:val="0"/>
          <w:sz w:val="28"/>
          <w:szCs w:val="28"/>
        </w:rPr>
        <w:t>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股东作出分配利润的决议的，董事会应当在股东决定作出之日起六个月内进行分配。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第五十一条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（注：公司聘用、解聘承办公司审计业务的会计师事务所，可约定由董事会决议，并修改本条。）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kern w:val="0"/>
          <w:sz w:val="28"/>
          <w:szCs w:val="28"/>
        </w:rPr>
        <w:t>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80" w:lineRule="exact"/>
        <w:ind w:firstLine="552" w:firstLineChars="200"/>
        <w:outlineLvl w:val="1"/>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第五十六条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公司财产在分别支付清算费用、职工的工资、社会保险费用和法定补偿金，缴纳所欠税款，清偿公司债务后的剩余财产，由股东分配。</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十一</w:t>
      </w:r>
      <w:r>
        <w:rPr>
          <w:rFonts w:hint="eastAsia" w:ascii="黑体" w:hAnsi="黑体" w:eastAsia="黑体" w:cs="黑体"/>
          <w:b/>
          <w:kern w:val="0"/>
          <w:sz w:val="28"/>
          <w:szCs w:val="28"/>
        </w:rPr>
        <w:t>章  公司的其他规定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股东、董事、高级管理人员应当将联系方式（包括通信地址、电话、电子邮箱等）报公司置备，发生变动的，应及时报公司予以更新。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第六十二条</w:t>
      </w:r>
      <w:r>
        <w:rPr>
          <w:rFonts w:hint="eastAsia" w:ascii="仿宋_GB2312" w:hAnsi="仿宋_GB2312" w:eastAsia="仿宋_GB2312" w:cs="仿宋_GB2312"/>
          <w:spacing w:val="-2"/>
          <w:kern w:val="0"/>
          <w:sz w:val="28"/>
          <w:szCs w:val="28"/>
        </w:rPr>
        <w:t xml:space="preserve"> 公司股东、董事会、审计委员会召开会议和表决可以采用电子通信方式。</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bookmarkStart w:id="0" w:name="_GoBack"/>
      <w:bookmarkEnd w:id="0"/>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应当经股东决定。</w:t>
      </w:r>
    </w:p>
    <w:p>
      <w:pPr>
        <w:spacing w:line="48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第六十四条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spacing w:line="480" w:lineRule="exact"/>
        <w:ind w:firstLine="63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z w:val="28"/>
          <w:szCs w:val="28"/>
        </w:rPr>
        <w:br w:type="textWrapping"/>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ascii="仿宋_GB2312" w:hAnsi="仿宋_GB2312" w:eastAsia="仿宋_GB2312" w:cs="仿宋_GB2312"/>
          <w:color w:val="000000" w:themeColor="text1"/>
          <w:spacing w:val="-2"/>
          <w:kern w:val="0"/>
          <w:sz w:val="28"/>
          <w:szCs w:val="28"/>
        </w:rPr>
      </w:pPr>
    </w:p>
    <w:p>
      <w:pPr>
        <w:spacing w:line="48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spacing w:line="480" w:lineRule="exact"/>
        <w:rPr>
          <w:rFonts w:ascii="仿宋_GB2312" w:hAnsi="仿宋_GB2312" w:eastAsia="仿宋_GB2312" w:cs="仿宋_GB2312"/>
          <w:color w:val="000000" w:themeColor="text1"/>
          <w:kern w:val="0"/>
          <w:sz w:val="28"/>
          <w:szCs w:val="28"/>
        </w:rPr>
      </w:pPr>
    </w:p>
    <w:p>
      <w:pPr>
        <w:spacing w:line="48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80" w:lineRule="exact"/>
        <w:ind w:firstLine="3920" w:firstLineChars="1400"/>
        <w:rPr>
          <w:rFonts w:ascii="仿宋_GB2312" w:hAnsi="仿宋_GB2312" w:eastAsia="仿宋_GB2312" w:cs="仿宋_GB2312"/>
          <w:color w:val="FF0000"/>
          <w:kern w:val="0"/>
          <w:sz w:val="28"/>
          <w:szCs w:val="28"/>
        </w:rPr>
      </w:pPr>
    </w:p>
    <w:p>
      <w:pPr>
        <w:spacing w:line="480" w:lineRule="exact"/>
        <w:ind w:firstLine="3920" w:firstLineChars="1400"/>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000000"/>
          <w:sz w:val="28"/>
          <w:szCs w:val="28"/>
        </w:rPr>
      </w:pPr>
      <w:r>
        <w:rPr>
          <w:rFonts w:hint="eastAsia" w:ascii="仿宋_GB2312" w:hAnsi="Calibri" w:eastAsia="仿宋_GB2312" w:cs="仿宋_GB2312"/>
          <w:b/>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szCs w:val="21"/>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1.有限责任公司设立时的章程由全体股东签署（自然人由本人签字，法人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b/>
          <w:i/>
          <w:color w:val="00B0F0"/>
          <w:szCs w:val="21"/>
          <w:shd w:val="clear" w:color="auto" w:fill="D9D9D9"/>
        </w:rPr>
      </w:pPr>
      <w:r>
        <w:rPr>
          <w:rFonts w:hint="eastAsia" w:ascii="仿宋_GB2312" w:hAnsi="Calibri" w:eastAsia="仿宋_GB2312" w:cs="仿宋_GB2312"/>
          <w:szCs w:val="21"/>
        </w:rPr>
        <w:t>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 w:name="KSO_WPS_MARK_KEY" w:val="7e0968af-cfc8-4142-9bc7-8b16e77507d5"/>
  </w:docVars>
  <w:rsids>
    <w:rsidRoot w:val="00172A27"/>
    <w:rsid w:val="00043A76"/>
    <w:rsid w:val="00172A27"/>
    <w:rsid w:val="00177211"/>
    <w:rsid w:val="00251F4B"/>
    <w:rsid w:val="00540669"/>
    <w:rsid w:val="007A09A2"/>
    <w:rsid w:val="008007C5"/>
    <w:rsid w:val="00821FCA"/>
    <w:rsid w:val="009431CC"/>
    <w:rsid w:val="009A05C3"/>
    <w:rsid w:val="009A27A0"/>
    <w:rsid w:val="009A767C"/>
    <w:rsid w:val="009C0BB5"/>
    <w:rsid w:val="00A011C2"/>
    <w:rsid w:val="00B94FB8"/>
    <w:rsid w:val="00C1379B"/>
    <w:rsid w:val="00ED630F"/>
    <w:rsid w:val="00EE4D49"/>
    <w:rsid w:val="00F2321E"/>
    <w:rsid w:val="00F92DA7"/>
    <w:rsid w:val="011C4D62"/>
    <w:rsid w:val="01AB455E"/>
    <w:rsid w:val="02471A55"/>
    <w:rsid w:val="029F3DD0"/>
    <w:rsid w:val="02EE73EF"/>
    <w:rsid w:val="031545B7"/>
    <w:rsid w:val="039C06B4"/>
    <w:rsid w:val="03C93C6F"/>
    <w:rsid w:val="03E85328"/>
    <w:rsid w:val="03F4380B"/>
    <w:rsid w:val="04861B0C"/>
    <w:rsid w:val="04EF7EBB"/>
    <w:rsid w:val="050268A0"/>
    <w:rsid w:val="05F2584F"/>
    <w:rsid w:val="06396F66"/>
    <w:rsid w:val="074B1B9F"/>
    <w:rsid w:val="080C49FD"/>
    <w:rsid w:val="08A67CCE"/>
    <w:rsid w:val="08B20C06"/>
    <w:rsid w:val="0A0E66E8"/>
    <w:rsid w:val="0BA969CC"/>
    <w:rsid w:val="0BC3307A"/>
    <w:rsid w:val="0C840055"/>
    <w:rsid w:val="0CFC2FB8"/>
    <w:rsid w:val="0DAF47BB"/>
    <w:rsid w:val="0E220FE6"/>
    <w:rsid w:val="0EE161E4"/>
    <w:rsid w:val="0F1575ED"/>
    <w:rsid w:val="0F6451B1"/>
    <w:rsid w:val="0F8F6735"/>
    <w:rsid w:val="11CD5643"/>
    <w:rsid w:val="11DD7ADE"/>
    <w:rsid w:val="13E15C2A"/>
    <w:rsid w:val="140D69C0"/>
    <w:rsid w:val="14C12F5A"/>
    <w:rsid w:val="14F12F6D"/>
    <w:rsid w:val="170DC815"/>
    <w:rsid w:val="188574F2"/>
    <w:rsid w:val="18B057F1"/>
    <w:rsid w:val="191A76B9"/>
    <w:rsid w:val="19B945C5"/>
    <w:rsid w:val="19BA704F"/>
    <w:rsid w:val="19FD12C3"/>
    <w:rsid w:val="1A10593C"/>
    <w:rsid w:val="1A5877A5"/>
    <w:rsid w:val="1C264FE1"/>
    <w:rsid w:val="1D7F1C04"/>
    <w:rsid w:val="1E3A24E0"/>
    <w:rsid w:val="1E7D1FCB"/>
    <w:rsid w:val="20B91AFF"/>
    <w:rsid w:val="2162300D"/>
    <w:rsid w:val="21F87D83"/>
    <w:rsid w:val="228A47AB"/>
    <w:rsid w:val="23205AE3"/>
    <w:rsid w:val="234F7AFB"/>
    <w:rsid w:val="248D0808"/>
    <w:rsid w:val="24AB0691"/>
    <w:rsid w:val="251F439B"/>
    <w:rsid w:val="277F16AE"/>
    <w:rsid w:val="279A25EB"/>
    <w:rsid w:val="279F4EB7"/>
    <w:rsid w:val="27BF02F5"/>
    <w:rsid w:val="281E47FE"/>
    <w:rsid w:val="28E9046A"/>
    <w:rsid w:val="29536324"/>
    <w:rsid w:val="29CE38A2"/>
    <w:rsid w:val="2AF17197"/>
    <w:rsid w:val="2B541DC2"/>
    <w:rsid w:val="2B9D3E9D"/>
    <w:rsid w:val="2C063DE0"/>
    <w:rsid w:val="2CA10123"/>
    <w:rsid w:val="2D383F15"/>
    <w:rsid w:val="2DAE426C"/>
    <w:rsid w:val="2DD46E48"/>
    <w:rsid w:val="2DE3352A"/>
    <w:rsid w:val="2E210DA6"/>
    <w:rsid w:val="2E354A5B"/>
    <w:rsid w:val="2E396CE5"/>
    <w:rsid w:val="2FA12BEE"/>
    <w:rsid w:val="30412871"/>
    <w:rsid w:val="31D80C0B"/>
    <w:rsid w:val="327A1219"/>
    <w:rsid w:val="33733C4C"/>
    <w:rsid w:val="33B828D3"/>
    <w:rsid w:val="35785233"/>
    <w:rsid w:val="36203A6B"/>
    <w:rsid w:val="366754AB"/>
    <w:rsid w:val="36AD5875"/>
    <w:rsid w:val="37036908"/>
    <w:rsid w:val="377C4B83"/>
    <w:rsid w:val="37C13D08"/>
    <w:rsid w:val="392E009A"/>
    <w:rsid w:val="3A1D6257"/>
    <w:rsid w:val="3A505ABB"/>
    <w:rsid w:val="3BBB508F"/>
    <w:rsid w:val="3C370BA9"/>
    <w:rsid w:val="3C3B0E56"/>
    <w:rsid w:val="3DC75867"/>
    <w:rsid w:val="3EF21320"/>
    <w:rsid w:val="403E2861"/>
    <w:rsid w:val="40DC56BC"/>
    <w:rsid w:val="40E82139"/>
    <w:rsid w:val="42C52EFE"/>
    <w:rsid w:val="42CC3426"/>
    <w:rsid w:val="43853221"/>
    <w:rsid w:val="445B78F2"/>
    <w:rsid w:val="44C77313"/>
    <w:rsid w:val="44F50EE0"/>
    <w:rsid w:val="4521395A"/>
    <w:rsid w:val="4587329F"/>
    <w:rsid w:val="467E7ADD"/>
    <w:rsid w:val="482E65EF"/>
    <w:rsid w:val="48BA3564"/>
    <w:rsid w:val="490B63E4"/>
    <w:rsid w:val="49293D17"/>
    <w:rsid w:val="49A93F69"/>
    <w:rsid w:val="49C42657"/>
    <w:rsid w:val="49D60836"/>
    <w:rsid w:val="49FE7B3A"/>
    <w:rsid w:val="4A432B3B"/>
    <w:rsid w:val="4C9723D7"/>
    <w:rsid w:val="4DE44058"/>
    <w:rsid w:val="4E7D0D54"/>
    <w:rsid w:val="4E8529AC"/>
    <w:rsid w:val="4EFB79A0"/>
    <w:rsid w:val="4F4B13CD"/>
    <w:rsid w:val="5054095A"/>
    <w:rsid w:val="50943942"/>
    <w:rsid w:val="514349DF"/>
    <w:rsid w:val="5147064F"/>
    <w:rsid w:val="51DD1E63"/>
    <w:rsid w:val="51EA15F7"/>
    <w:rsid w:val="52A1104A"/>
    <w:rsid w:val="53016FC9"/>
    <w:rsid w:val="545804DE"/>
    <w:rsid w:val="55CB57DD"/>
    <w:rsid w:val="56D56C11"/>
    <w:rsid w:val="592C1AD3"/>
    <w:rsid w:val="5AE4080F"/>
    <w:rsid w:val="5B8754EA"/>
    <w:rsid w:val="5C83476E"/>
    <w:rsid w:val="5CDF60C1"/>
    <w:rsid w:val="5D1256CE"/>
    <w:rsid w:val="5DD52936"/>
    <w:rsid w:val="5DD60632"/>
    <w:rsid w:val="5DDD7948"/>
    <w:rsid w:val="5E616535"/>
    <w:rsid w:val="5F7D6C03"/>
    <w:rsid w:val="5F7F2659"/>
    <w:rsid w:val="604265FC"/>
    <w:rsid w:val="605B2EAD"/>
    <w:rsid w:val="60952803"/>
    <w:rsid w:val="61165980"/>
    <w:rsid w:val="614C4BDC"/>
    <w:rsid w:val="624946EA"/>
    <w:rsid w:val="626A1485"/>
    <w:rsid w:val="63526B9C"/>
    <w:rsid w:val="637D61C4"/>
    <w:rsid w:val="63FB1A3C"/>
    <w:rsid w:val="649E2AAB"/>
    <w:rsid w:val="651F0E1A"/>
    <w:rsid w:val="65531619"/>
    <w:rsid w:val="656F4A94"/>
    <w:rsid w:val="66192E8F"/>
    <w:rsid w:val="66215E2C"/>
    <w:rsid w:val="663B3E56"/>
    <w:rsid w:val="67515045"/>
    <w:rsid w:val="68D902E4"/>
    <w:rsid w:val="68F2FF90"/>
    <w:rsid w:val="6A521CFD"/>
    <w:rsid w:val="6A9242F2"/>
    <w:rsid w:val="6ABF6769"/>
    <w:rsid w:val="6C5771D1"/>
    <w:rsid w:val="6CAE465D"/>
    <w:rsid w:val="6E1312A6"/>
    <w:rsid w:val="6F136CDD"/>
    <w:rsid w:val="6F3E0FD8"/>
    <w:rsid w:val="6F9455FA"/>
    <w:rsid w:val="702242DF"/>
    <w:rsid w:val="70395A27"/>
    <w:rsid w:val="70704008"/>
    <w:rsid w:val="709935E0"/>
    <w:rsid w:val="70A80893"/>
    <w:rsid w:val="71494950"/>
    <w:rsid w:val="71B21F24"/>
    <w:rsid w:val="72B616BF"/>
    <w:rsid w:val="73526C7F"/>
    <w:rsid w:val="73A31C27"/>
    <w:rsid w:val="73BD1FD4"/>
    <w:rsid w:val="73DA22AE"/>
    <w:rsid w:val="741F67B1"/>
    <w:rsid w:val="746043A0"/>
    <w:rsid w:val="758F4B41"/>
    <w:rsid w:val="76711435"/>
    <w:rsid w:val="76BD3FBB"/>
    <w:rsid w:val="77343ACF"/>
    <w:rsid w:val="77353881"/>
    <w:rsid w:val="7A6B15C4"/>
    <w:rsid w:val="7AA9664C"/>
    <w:rsid w:val="7B1832E6"/>
    <w:rsid w:val="7B4B7C4C"/>
    <w:rsid w:val="7B5A0D3F"/>
    <w:rsid w:val="7BAE5379"/>
    <w:rsid w:val="7BBA10AF"/>
    <w:rsid w:val="7C9C658A"/>
    <w:rsid w:val="7D3F4C08"/>
    <w:rsid w:val="7D5A6ACD"/>
    <w:rsid w:val="7DEF60A9"/>
    <w:rsid w:val="7E0E4770"/>
    <w:rsid w:val="7E7216EF"/>
    <w:rsid w:val="AEBF5AFE"/>
    <w:rsid w:val="C7F1ECE4"/>
    <w:rsid w:val="DA7DC1DD"/>
    <w:rsid w:val="FBEFD377"/>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paragraph" w:customStyle="1" w:styleId="11">
    <w:name w:val="12"/>
    <w:basedOn w:val="1"/>
    <w:qFormat/>
    <w:uiPriority w:val="0"/>
    <w:pPr>
      <w:widowControl/>
      <w:spacing w:beforeAutospacing="1" w:afterAutospacing="1"/>
      <w:jc w:val="left"/>
    </w:pPr>
    <w:rPr>
      <w:rFonts w:hint="eastAsia" w:ascii="宋体" w:hAnsi="宋体" w:eastAsia="宋体" w:cs="Times New Roman"/>
      <w:kern w:val="0"/>
      <w:sz w:val="24"/>
    </w:rPr>
  </w:style>
  <w:style w:type="character" w:customStyle="1" w:styleId="12">
    <w:name w:val="页眉 Char"/>
    <w:basedOn w:val="10"/>
    <w:link w:val="7"/>
    <w:qFormat/>
    <w:uiPriority w:val="0"/>
    <w:rPr>
      <w:rFonts w:asciiTheme="minorHAnsi" w:hAnsiTheme="minorHAnsi" w:eastAsiaTheme="minorEastAsia" w:cstheme="minorBidi"/>
      <w:kern w:val="2"/>
      <w:sz w:val="18"/>
      <w:szCs w:val="18"/>
    </w:rPr>
  </w:style>
  <w:style w:type="character" w:customStyle="1" w:styleId="13">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1530</Words>
  <Characters>8721</Characters>
  <Lines>72</Lines>
  <Paragraphs>20</Paragraphs>
  <TotalTime>0</TotalTime>
  <ScaleCrop>false</ScaleCrop>
  <LinksUpToDate>false</LinksUpToDate>
  <CharactersWithSpaces>10231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2024-06-24T20:31:00Z</dcterms:created>
  <dc:creator>鱼朵朵</dc:creator>
  <cp:lastModifiedBy>user</cp:lastModifiedBy>
  <dcterms:modified xsi:type="dcterms:W3CDTF">2025-08-06T10:45:54Z</dcterms:modified>
  <dc:title>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31DCF87DA4CF453D887E067C255C94A4</vt:lpwstr>
  </property>
</Properties>
</file>