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有限责任公司情形28：2-50个股东，设董事会、监事会、经理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黑体" w:hAnsi="黑体" w:eastAsia="黑体" w:cs="黑体"/>
          <w:color w:val="000000" w:themeColor="text1"/>
          <w:spacing w:val="-2"/>
          <w:kern w:val="0"/>
          <w:sz w:val="32"/>
          <w:szCs w:val="32"/>
          <w:u w:val="single"/>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监事会会议决议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监事会召集并主持；监事会不召集的，代表十分之一以上表决权的股东可以自行召集和主持。</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监事会召集并主持；监事会不召集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spacing w:val="-2"/>
          <w:kern w:val="0"/>
          <w:sz w:val="28"/>
          <w:szCs w:val="28"/>
          <w:u w:val="single"/>
          <w:lang w:eastAsia="zh-CN"/>
        </w:rPr>
        <w:t>三</w:t>
      </w:r>
      <w:r>
        <w:rPr>
          <w:rFonts w:hint="eastAsia" w:ascii="仿宋_GB2312" w:hAnsi="仿宋_GB2312" w:eastAsia="仿宋_GB2312" w:cs="仿宋_GB2312"/>
          <w:spacing w:val="-2"/>
          <w:kern w:val="0"/>
          <w:sz w:val="28"/>
          <w:szCs w:val="28"/>
        </w:rPr>
        <w:t>年。董事任期届满，可以连任。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设监事会，成员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人，其中股东代表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人，职工代表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p>
    <w:p>
      <w:pPr>
        <w:spacing w:line="480" w:lineRule="exact"/>
        <w:ind w:firstLine="660"/>
        <w:rPr>
          <w:rFonts w:ascii="仿宋_GB2312" w:hAnsi="仿宋_GB2312" w:eastAsia="仿宋_GB2312" w:cs="仿宋_GB2312"/>
          <w:b/>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rPr>
        <w:t>股东代表由股东会选举产生；职工代表的监事由</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选举产生。</w:t>
      </w:r>
    </w:p>
    <w:p>
      <w:pPr>
        <w:spacing w:line="48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监事会行使下列职权：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监事可以列席董事会决议，并对董事会决议事项提出质询或者建议。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rPr>
          <w:rFonts w:ascii="仿宋_GB2312" w:hAnsi="仿宋_GB2312" w:eastAsia="仿宋_GB2312" w:cs="仿宋_GB2312"/>
          <w:b/>
          <w:bCs/>
          <w:color w:val="000000" w:themeColor="text1"/>
          <w:spacing w:val="-2"/>
          <w:kern w:val="0"/>
          <w:sz w:val="28"/>
          <w:szCs w:val="28"/>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第六十一条</w:t>
      </w:r>
      <w:r>
        <w:rPr>
          <w:rFonts w:hint="eastAsia" w:ascii="仿宋_GB2312" w:hAnsi="仿宋_GB2312" w:eastAsia="仿宋_GB2312" w:cs="仿宋_GB2312"/>
          <w:spacing w:val="-2"/>
          <w:kern w:val="0"/>
          <w:sz w:val="28"/>
          <w:szCs w:val="28"/>
        </w:rPr>
        <w:t xml:space="preserve"> 董事会对本章程第五十八条至第六十条规定的事项决议时，关联董事不得参与表决，其表决权不计入表决权总数。出席董事会会议的无关联关系董事人数不足三人的，应当将该事项提交股东会审议。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（注：公司聘用、解聘承办公司审计业务的会计师事务所，也可约定由董事会、监事会决定，并修改本条。）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color w:val="000000" w:themeColor="text1"/>
          <w:kern w:val="0"/>
          <w:sz w:val="28"/>
          <w:szCs w:val="28"/>
          <w:lang w:eastAsia="zh-CN"/>
        </w:rPr>
        <w:t>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公司股东会、董事会、监事会召开会议和表决可以采用电子通信方式。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第八十一条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bookmarkStart w:id="0" w:name="_GoBack"/>
      <w:bookmarkEnd w:id="0"/>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第八十二条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0281D"/>
    <w:rsid w:val="001549FD"/>
    <w:rsid w:val="00172A27"/>
    <w:rsid w:val="003C2ADC"/>
    <w:rsid w:val="003E78A9"/>
    <w:rsid w:val="00505AFF"/>
    <w:rsid w:val="00566165"/>
    <w:rsid w:val="00645B4B"/>
    <w:rsid w:val="006D412C"/>
    <w:rsid w:val="007A09A2"/>
    <w:rsid w:val="008007C5"/>
    <w:rsid w:val="009C0BB5"/>
    <w:rsid w:val="00A61398"/>
    <w:rsid w:val="00A92126"/>
    <w:rsid w:val="00C1379B"/>
    <w:rsid w:val="00C27D69"/>
    <w:rsid w:val="00C41353"/>
    <w:rsid w:val="00DE2EB6"/>
    <w:rsid w:val="00E95DE3"/>
    <w:rsid w:val="00F2321E"/>
    <w:rsid w:val="01200562"/>
    <w:rsid w:val="012354F4"/>
    <w:rsid w:val="01A11B16"/>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BC3307A"/>
    <w:rsid w:val="0CFC2FB8"/>
    <w:rsid w:val="0D4A573F"/>
    <w:rsid w:val="0D5E4415"/>
    <w:rsid w:val="0DAF47BB"/>
    <w:rsid w:val="0E220FE6"/>
    <w:rsid w:val="0F6451B1"/>
    <w:rsid w:val="0FE22EE5"/>
    <w:rsid w:val="10D167E8"/>
    <w:rsid w:val="11DD7ADE"/>
    <w:rsid w:val="13713700"/>
    <w:rsid w:val="13E15C2A"/>
    <w:rsid w:val="140D69C0"/>
    <w:rsid w:val="14C12F5A"/>
    <w:rsid w:val="170DC815"/>
    <w:rsid w:val="188574F2"/>
    <w:rsid w:val="18B057F1"/>
    <w:rsid w:val="191A76B9"/>
    <w:rsid w:val="19B945C5"/>
    <w:rsid w:val="19BA704F"/>
    <w:rsid w:val="19FD12C3"/>
    <w:rsid w:val="1A5877A5"/>
    <w:rsid w:val="1B537F21"/>
    <w:rsid w:val="1BC45EC9"/>
    <w:rsid w:val="1C264FE1"/>
    <w:rsid w:val="1D7F1C04"/>
    <w:rsid w:val="1E3A24E0"/>
    <w:rsid w:val="2162300D"/>
    <w:rsid w:val="21F87D83"/>
    <w:rsid w:val="228A47AB"/>
    <w:rsid w:val="23205AE3"/>
    <w:rsid w:val="234F7AFB"/>
    <w:rsid w:val="248D0808"/>
    <w:rsid w:val="24AB0691"/>
    <w:rsid w:val="277F16AE"/>
    <w:rsid w:val="279A25EB"/>
    <w:rsid w:val="279F4EB7"/>
    <w:rsid w:val="27BF02F5"/>
    <w:rsid w:val="281E47FE"/>
    <w:rsid w:val="28E9046A"/>
    <w:rsid w:val="29536324"/>
    <w:rsid w:val="29CE38A2"/>
    <w:rsid w:val="2AF17197"/>
    <w:rsid w:val="2B27135D"/>
    <w:rsid w:val="2B541DC2"/>
    <w:rsid w:val="2B9D3E9D"/>
    <w:rsid w:val="2C063DE0"/>
    <w:rsid w:val="2D383F15"/>
    <w:rsid w:val="2DAE426C"/>
    <w:rsid w:val="2DE3352A"/>
    <w:rsid w:val="2E210DA6"/>
    <w:rsid w:val="2E354A5B"/>
    <w:rsid w:val="2E396CE5"/>
    <w:rsid w:val="30412871"/>
    <w:rsid w:val="31CE04BB"/>
    <w:rsid w:val="31D80C0B"/>
    <w:rsid w:val="3239054C"/>
    <w:rsid w:val="327A1219"/>
    <w:rsid w:val="33733C4C"/>
    <w:rsid w:val="33736DF6"/>
    <w:rsid w:val="33B828D3"/>
    <w:rsid w:val="36203A6B"/>
    <w:rsid w:val="36AD5875"/>
    <w:rsid w:val="36E249FF"/>
    <w:rsid w:val="37036908"/>
    <w:rsid w:val="377C4B83"/>
    <w:rsid w:val="37C13D08"/>
    <w:rsid w:val="37C403E1"/>
    <w:rsid w:val="38F04F09"/>
    <w:rsid w:val="392E009A"/>
    <w:rsid w:val="3B730374"/>
    <w:rsid w:val="3B81139E"/>
    <w:rsid w:val="3BBB508F"/>
    <w:rsid w:val="3C370BA9"/>
    <w:rsid w:val="3C3B0E56"/>
    <w:rsid w:val="3DC75867"/>
    <w:rsid w:val="3EF21320"/>
    <w:rsid w:val="403E2861"/>
    <w:rsid w:val="40DC56BC"/>
    <w:rsid w:val="40E82139"/>
    <w:rsid w:val="42C52EFE"/>
    <w:rsid w:val="42CC3426"/>
    <w:rsid w:val="43853221"/>
    <w:rsid w:val="445B78F2"/>
    <w:rsid w:val="44C77313"/>
    <w:rsid w:val="44F50EE0"/>
    <w:rsid w:val="45012132"/>
    <w:rsid w:val="4521395A"/>
    <w:rsid w:val="4587329F"/>
    <w:rsid w:val="482E65EF"/>
    <w:rsid w:val="48BA3564"/>
    <w:rsid w:val="490B63E4"/>
    <w:rsid w:val="49A93F69"/>
    <w:rsid w:val="49C42657"/>
    <w:rsid w:val="49D60836"/>
    <w:rsid w:val="4A432B3B"/>
    <w:rsid w:val="4C9723D7"/>
    <w:rsid w:val="4DE44058"/>
    <w:rsid w:val="4E4B708E"/>
    <w:rsid w:val="4E7D0D54"/>
    <w:rsid w:val="4E8529AC"/>
    <w:rsid w:val="4EFB79A0"/>
    <w:rsid w:val="4F4B13CD"/>
    <w:rsid w:val="5054095A"/>
    <w:rsid w:val="50943942"/>
    <w:rsid w:val="514349DF"/>
    <w:rsid w:val="5147064F"/>
    <w:rsid w:val="51DD1E63"/>
    <w:rsid w:val="51EA15F7"/>
    <w:rsid w:val="52A1104A"/>
    <w:rsid w:val="52C85D14"/>
    <w:rsid w:val="545804DE"/>
    <w:rsid w:val="546B5BEE"/>
    <w:rsid w:val="55CB57DD"/>
    <w:rsid w:val="56301B82"/>
    <w:rsid w:val="56D56C11"/>
    <w:rsid w:val="58EA1A84"/>
    <w:rsid w:val="592C1AD3"/>
    <w:rsid w:val="5A77138F"/>
    <w:rsid w:val="5AE4080F"/>
    <w:rsid w:val="5B8754EA"/>
    <w:rsid w:val="5C83476E"/>
    <w:rsid w:val="5CDF60C1"/>
    <w:rsid w:val="5D1256CE"/>
    <w:rsid w:val="5DD52936"/>
    <w:rsid w:val="5DD60632"/>
    <w:rsid w:val="5DDD7948"/>
    <w:rsid w:val="5E616535"/>
    <w:rsid w:val="5F7D6C03"/>
    <w:rsid w:val="5F7F2659"/>
    <w:rsid w:val="604265FC"/>
    <w:rsid w:val="60952803"/>
    <w:rsid w:val="60B97963"/>
    <w:rsid w:val="61165980"/>
    <w:rsid w:val="614C4BDC"/>
    <w:rsid w:val="624946EA"/>
    <w:rsid w:val="626A1485"/>
    <w:rsid w:val="62940FC0"/>
    <w:rsid w:val="63526B9C"/>
    <w:rsid w:val="637D61C4"/>
    <w:rsid w:val="63FB1A3C"/>
    <w:rsid w:val="649E2AAB"/>
    <w:rsid w:val="651F0E1A"/>
    <w:rsid w:val="65531619"/>
    <w:rsid w:val="656F4A94"/>
    <w:rsid w:val="66192E8F"/>
    <w:rsid w:val="663B3E56"/>
    <w:rsid w:val="67515045"/>
    <w:rsid w:val="67EA4DA3"/>
    <w:rsid w:val="68D902E4"/>
    <w:rsid w:val="692C69F5"/>
    <w:rsid w:val="6A521CFD"/>
    <w:rsid w:val="6A9242F2"/>
    <w:rsid w:val="6ABF6769"/>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81B653A"/>
    <w:rsid w:val="7A6B15C4"/>
    <w:rsid w:val="7AA9664C"/>
    <w:rsid w:val="7B4B7C4C"/>
    <w:rsid w:val="7B5A0D3F"/>
    <w:rsid w:val="7BAE5379"/>
    <w:rsid w:val="7BBA10AF"/>
    <w:rsid w:val="7C9C658A"/>
    <w:rsid w:val="7D3F4C08"/>
    <w:rsid w:val="7DEF60A9"/>
    <w:rsid w:val="7E0E4770"/>
    <w:rsid w:val="7E7216EF"/>
    <w:rsid w:val="AEBF5AFE"/>
    <w:rsid w:val="C7F1ECE4"/>
    <w:rsid w:val="DA7DC1DD"/>
    <w:rsid w:val="EFC7B807"/>
    <w:rsid w:val="EFFD9F21"/>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2"/>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character" w:customStyle="1" w:styleId="12">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1993</Words>
  <Characters>11361</Characters>
  <Lines>94</Lines>
  <Paragraphs>26</Paragraphs>
  <TotalTime>0</TotalTime>
  <ScaleCrop>false</ScaleCrop>
  <LinksUpToDate>false</LinksUpToDate>
  <CharactersWithSpaces>13328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2025-08-06T10:15:09Z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