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国有独资有限责任公司情形1：设董事会、经理、监事</w:t>
      </w:r>
    </w:p>
    <w:p>
      <w:pPr>
        <w:rPr>
          <w:rFonts w:asciiTheme="minorEastAsia" w:hAnsiTheme="minorEastAsia" w:cstheme="minorEastAsia"/>
          <w:b/>
          <w:color w:val="FF0000"/>
          <w:sz w:val="24"/>
        </w:rPr>
      </w:pPr>
      <w:r>
        <w:rPr>
          <w:rFonts w:hint="eastAsia" w:asciiTheme="minorEastAsia" w:hAnsiTheme="minorEastAsia" w:cstheme="minorEastAsia"/>
          <w:b/>
          <w:color w:val="FF0000"/>
          <w:sz w:val="24"/>
        </w:rPr>
        <w:t>（注：为便于工作人员审查，本条无需删除。）</w:t>
      </w:r>
    </w:p>
    <w:p>
      <w:pPr>
        <w:rPr>
          <w:rFonts w:asciiTheme="minorEastAsia" w:hAnsiTheme="minorEastAsia" w:cstheme="minorEastAsia"/>
          <w:b/>
          <w:color w:val="000000" w:themeColor="text1"/>
          <w:sz w:val="24"/>
          <w14:textFill>
            <w14:solidFill>
              <w14:schemeClr w14:val="tx1"/>
            </w14:solidFill>
          </w14:textFill>
        </w:rPr>
      </w:pPr>
    </w:p>
    <w:p>
      <w:pPr>
        <w:jc w:val="center"/>
        <w:rPr>
          <w:rFonts w:ascii="黑体" w:hAnsi="黑体" w:eastAsia="黑体" w:cs="黑体"/>
          <w:bCs/>
          <w:kern w:val="0"/>
          <w:sz w:val="36"/>
          <w:szCs w:val="36"/>
        </w:rPr>
      </w:pPr>
      <w:r>
        <w:rPr>
          <w:rFonts w:hint="eastAsia" w:ascii="黑体" w:hAnsi="黑体" w:eastAsia="黑体" w:cs="黑体"/>
          <w:bCs/>
          <w:color w:val="44546A" w:themeColor="text2"/>
          <w:spacing w:val="-2"/>
          <w:kern w:val="0"/>
          <w:sz w:val="36"/>
          <w:szCs w:val="36"/>
          <w:u w:val="single"/>
          <w14:textFill>
            <w14:solidFill>
              <w14:schemeClr w14:val="tx2"/>
            </w14:solidFill>
          </w14:textFill>
        </w:rPr>
        <w:t xml:space="preserve">               </w:t>
      </w:r>
      <w:r>
        <w:rPr>
          <w:rFonts w:hint="eastAsia" w:ascii="黑体" w:hAnsi="黑体" w:eastAsia="黑体" w:cs="黑体"/>
          <w:bCs/>
          <w:color w:val="000000" w:themeColor="text1"/>
          <w:kern w:val="0"/>
          <w:sz w:val="36"/>
          <w:szCs w:val="36"/>
          <w14:textFill>
            <w14:solidFill>
              <w14:schemeClr w14:val="tx1"/>
            </w14:solidFill>
          </w14:textFill>
        </w:rPr>
        <w:t>有限公司</w:t>
      </w:r>
      <w:r>
        <w:rPr>
          <w:rFonts w:hint="eastAsia" w:ascii="黑体" w:hAnsi="黑体" w:eastAsia="黑体" w:cs="黑体"/>
          <w:bCs/>
          <w:kern w:val="0"/>
          <w:sz w:val="36"/>
          <w:szCs w:val="36"/>
        </w:rPr>
        <w:t>章程</w:t>
      </w:r>
    </w:p>
    <w:p>
      <w:pPr>
        <w:jc w:val="center"/>
        <w:rPr>
          <w:rFonts w:ascii="黑体" w:hAnsi="黑体" w:eastAsia="黑体" w:cs="黑体"/>
          <w:b/>
          <w:kern w:val="0"/>
          <w:sz w:val="28"/>
          <w:szCs w:val="28"/>
        </w:rPr>
      </w:pPr>
    </w:p>
    <w:p>
      <w:pPr>
        <w:keepNext w:val="0"/>
        <w:keepLines w:val="0"/>
        <w:pageBreakBefore w:val="0"/>
        <w:wordWrap/>
        <w:bidi w:val="0"/>
        <w:adjustRightInd/>
        <w:snapToGrid/>
        <w:spacing w:line="460" w:lineRule="exact"/>
        <w:jc w:val="center"/>
        <w:textAlignment w:val="auto"/>
        <w:rPr>
          <w:rFonts w:ascii="Microsoft JhengHei" w:hAnsi="Microsoft JhengHei" w:eastAsia="Microsoft JhengHei" w:cs="Times New Roman"/>
          <w:b/>
          <w:kern w:val="0"/>
          <w:sz w:val="28"/>
          <w:szCs w:val="28"/>
        </w:rPr>
      </w:pPr>
      <w:r>
        <w:rPr>
          <w:rFonts w:hint="eastAsia" w:ascii="黑体" w:hAnsi="黑体" w:eastAsia="黑体" w:cs="黑体"/>
          <w:b/>
          <w:kern w:val="0"/>
          <w:sz w:val="28"/>
          <w:szCs w:val="28"/>
        </w:rPr>
        <w:t>第一章  总  则</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第一条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keepNext w:val="0"/>
        <w:keepLines w:val="0"/>
        <w:pageBreakBefore w:val="0"/>
        <w:wordWrap/>
        <w:bidi w:val="0"/>
        <w:adjustRightInd/>
        <w:snapToGrid/>
        <w:spacing w:line="460" w:lineRule="exact"/>
        <w:ind w:firstLine="554" w:firstLineChars="200"/>
        <w:textAlignment w:val="auto"/>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bCs/>
          <w:spacing w:val="-2"/>
          <w:kern w:val="0"/>
          <w:sz w:val="28"/>
          <w:szCs w:val="28"/>
        </w:rPr>
        <w:t>第二条</w:t>
      </w:r>
      <w:r>
        <w:rPr>
          <w:rFonts w:hint="eastAsia" w:ascii="仿宋_GB2312" w:hAnsi="仿宋_GB2312" w:eastAsia="仿宋_GB2312" w:cs="仿宋_GB2312"/>
          <w:b w:val="0"/>
          <w:bCs/>
          <w:color w:val="FF0000"/>
          <w:kern w:val="0"/>
          <w:sz w:val="28"/>
          <w:szCs w:val="28"/>
        </w:rPr>
        <w:t xml:space="preserve"> </w:t>
      </w: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1</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人民政府代表国家依法履行出资人职责，授权</w:t>
      </w:r>
      <w:r>
        <w:rPr>
          <w:rFonts w:hint="eastAsia" w:ascii="仿宋_GB2312" w:hAnsi="仿宋_GB2312" w:eastAsia="仿宋_GB2312" w:cs="仿宋_GB2312"/>
          <w:bCs/>
          <w:kern w:val="0"/>
          <w:sz w:val="28"/>
          <w:szCs w:val="28"/>
          <w:u w:val="single"/>
        </w:rPr>
        <w:t xml:space="preserve">              </w:t>
      </w:r>
      <w:r>
        <w:rPr>
          <w:rFonts w:ascii="仿宋_GB2312" w:hAnsi="仿宋_GB2312" w:eastAsia="仿宋_GB2312" w:cs="仿宋_GB2312"/>
          <w:bCs/>
          <w:color w:val="FF0000"/>
          <w:kern w:val="0"/>
          <w:sz w:val="28"/>
          <w:szCs w:val="28"/>
        </w:rPr>
        <w:t>(注：国有资产监督管理机构或者其他部门、机构</w:t>
      </w:r>
      <w:r>
        <w:rPr>
          <w:rFonts w:hint="eastAsia" w:ascii="仿宋_GB2312" w:hAnsi="仿宋_GB2312" w:eastAsia="仿宋_GB2312" w:cs="仿宋_GB2312"/>
          <w:bCs/>
          <w:color w:val="FF0000"/>
          <w:kern w:val="0"/>
          <w:sz w:val="28"/>
          <w:szCs w:val="28"/>
          <w:lang w:eastAsia="zh-CN"/>
        </w:rPr>
        <w:t>。</w:t>
      </w:r>
      <w:r>
        <w:rPr>
          <w:rFonts w:ascii="仿宋_GB2312" w:hAnsi="仿宋_GB2312" w:eastAsia="仿宋_GB2312" w:cs="仿宋_GB2312"/>
          <w:bCs/>
          <w:color w:val="FF0000"/>
          <w:kern w:val="0"/>
          <w:sz w:val="28"/>
          <w:szCs w:val="28"/>
        </w:rPr>
        <w:t>)</w:t>
      </w:r>
      <w:r>
        <w:rPr>
          <w:rFonts w:hint="eastAsia" w:ascii="仿宋_GB2312" w:hAnsi="仿宋_GB2312" w:eastAsia="仿宋_GB2312" w:cs="仿宋_GB2312"/>
          <w:bCs/>
          <w:kern w:val="0"/>
          <w:sz w:val="28"/>
          <w:szCs w:val="28"/>
        </w:rPr>
        <w:t>代表本级人民政府对国家出资公司履行出资人职责，按照《公司法》和其他有关法律法规的规定，</w:t>
      </w:r>
      <w:r>
        <w:rPr>
          <w:rFonts w:hint="eastAsia" w:ascii="仿宋_GB2312" w:hAnsi="仿宋_GB2312" w:eastAsia="仿宋_GB2312" w:cs="仿宋_GB2312"/>
          <w:bCs/>
          <w:kern w:val="0"/>
          <w:sz w:val="28"/>
          <w:szCs w:val="28"/>
          <w:highlight w:val="none"/>
        </w:rPr>
        <w:t>投资</w:t>
      </w:r>
      <w:r>
        <w:rPr>
          <w:rFonts w:hint="eastAsia" w:ascii="仿宋_GB2312" w:hAnsi="仿宋_GB2312" w:eastAsia="仿宋_GB2312" w:cs="仿宋_GB2312"/>
          <w:bCs/>
          <w:kern w:val="0"/>
          <w:sz w:val="28"/>
          <w:szCs w:val="28"/>
          <w:highlight w:val="none"/>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（注：适用于由各级人民政府授权</w:t>
      </w:r>
      <w:r>
        <w:rPr>
          <w:rFonts w:ascii="仿宋_GB2312" w:hAnsi="仿宋_GB2312" w:eastAsia="仿宋_GB2312" w:cs="仿宋_GB2312"/>
          <w:bCs/>
          <w:color w:val="FF0000"/>
          <w:kern w:val="0"/>
          <w:sz w:val="28"/>
          <w:szCs w:val="28"/>
        </w:rPr>
        <w:t>国有资产监督管理机构或者其他部门、机构</w:t>
      </w:r>
      <w:r>
        <w:rPr>
          <w:rFonts w:hint="eastAsia" w:ascii="仿宋_GB2312" w:hAnsi="仿宋_GB2312" w:eastAsia="仿宋_GB2312" w:cs="仿宋_GB2312"/>
          <w:bCs/>
          <w:color w:val="FF0000"/>
          <w:kern w:val="0"/>
          <w:sz w:val="28"/>
          <w:szCs w:val="28"/>
        </w:rPr>
        <w:t>代表本级人民政府对国家出资公司履行出资人职责的国有独资有限责任公司</w:t>
      </w:r>
      <w:r>
        <w:rPr>
          <w:rFonts w:hint="eastAsia" w:ascii="仿宋_GB2312" w:hAnsi="仿宋_GB2312" w:eastAsia="仿宋_GB2312" w:cs="仿宋_GB2312"/>
          <w:bCs/>
          <w:color w:val="FF0000"/>
          <w:kern w:val="0"/>
          <w:sz w:val="28"/>
          <w:szCs w:val="28"/>
          <w:lang w:eastAsia="zh-CN"/>
        </w:rPr>
        <w:t>。）</w:t>
      </w:r>
    </w:p>
    <w:p>
      <w:pPr>
        <w:keepNext w:val="0"/>
        <w:keepLines w:val="0"/>
        <w:pageBreakBefore w:val="0"/>
        <w:wordWrap/>
        <w:bidi w:val="0"/>
        <w:adjustRightInd/>
        <w:snapToGrid/>
        <w:spacing w:line="460" w:lineRule="exact"/>
        <w:ind w:firstLine="560" w:firstLineChars="200"/>
        <w:textAlignment w:val="auto"/>
        <w:rPr>
          <w:rFonts w:hint="eastAsia" w:ascii="仿宋_GB2312" w:hAnsi="仿宋_GB2312" w:eastAsia="仿宋_GB2312" w:cs="仿宋_GB2312"/>
          <w:b w:val="0"/>
          <w:bCs/>
          <w:color w:val="FF0000"/>
          <w:kern w:val="0"/>
          <w:sz w:val="28"/>
          <w:szCs w:val="28"/>
          <w:lang w:eastAsia="zh-CN"/>
        </w:rPr>
      </w:pPr>
    </w:p>
    <w:p>
      <w:pPr>
        <w:keepNext w:val="0"/>
        <w:keepLines w:val="0"/>
        <w:pageBreakBefore w:val="0"/>
        <w:wordWrap/>
        <w:bidi w:val="0"/>
        <w:adjustRightInd/>
        <w:snapToGrid/>
        <w:spacing w:line="460" w:lineRule="exact"/>
        <w:ind w:firstLine="560" w:firstLineChars="200"/>
        <w:textAlignment w:val="auto"/>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2</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（注：适用于由各级人民政府履行出资人职责的</w:t>
      </w:r>
      <w:r>
        <w:rPr>
          <w:rFonts w:hint="eastAsia" w:ascii="仿宋_GB2312" w:hAnsi="仿宋_GB2312" w:eastAsia="仿宋_GB2312" w:cs="仿宋_GB2312"/>
          <w:bCs/>
          <w:color w:val="FF0000"/>
          <w:kern w:val="0"/>
          <w:sz w:val="28"/>
          <w:szCs w:val="28"/>
        </w:rPr>
        <w:t>国有独资有限责任公司</w:t>
      </w:r>
      <w:r>
        <w:rPr>
          <w:rFonts w:hint="eastAsia" w:ascii="仿宋_GB2312" w:hAnsi="仿宋_GB2312" w:eastAsia="仿宋_GB2312" w:cs="仿宋_GB2312"/>
          <w:bCs/>
          <w:color w:val="FF0000"/>
          <w:kern w:val="0"/>
          <w:sz w:val="28"/>
          <w:szCs w:val="28"/>
          <w:lang w:eastAsia="zh-CN"/>
        </w:rPr>
        <w:t>。）</w:t>
      </w:r>
    </w:p>
    <w:p>
      <w:pPr>
        <w:keepNext w:val="0"/>
        <w:keepLines w:val="0"/>
        <w:pageBreakBefore w:val="0"/>
        <w:wordWrap/>
        <w:bidi w:val="0"/>
        <w:adjustRightInd/>
        <w:snapToGrid/>
        <w:spacing w:line="460" w:lineRule="exact"/>
        <w:ind w:firstLine="560" w:firstLineChars="200"/>
        <w:textAlignment w:val="auto"/>
        <w:rPr>
          <w:rFonts w:hint="eastAsia" w:ascii="仿宋_GB2312" w:hAnsi="仿宋_GB2312" w:eastAsia="仿宋_GB2312" w:cs="仿宋_GB2312"/>
          <w:bCs/>
          <w:color w:val="FF0000"/>
          <w:kern w:val="0"/>
          <w:sz w:val="28"/>
          <w:szCs w:val="28"/>
          <w:lang w:eastAsia="zh-CN"/>
        </w:rPr>
      </w:pP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第三条 </w:t>
      </w:r>
      <w:r>
        <w:rPr>
          <w:rFonts w:hint="eastAsia" w:ascii="仿宋_GB2312" w:hAnsi="仿宋_GB2312" w:eastAsia="仿宋_GB2312" w:cs="仿宋_GB2312"/>
          <w:b w:val="0"/>
          <w:bCs w:val="0"/>
          <w:sz w:val="28"/>
          <w:szCs w:val="28"/>
          <w:u w:val="single"/>
          <w:lang w:eastAsia="zh-CN"/>
        </w:rPr>
        <w:t>履行出资人职责的本级人民政府</w:t>
      </w:r>
      <w:r>
        <w:rPr>
          <w:rFonts w:hint="eastAsia" w:ascii="仿宋_GB2312" w:hAnsi="仿宋_GB2312" w:eastAsia="仿宋_GB2312" w:cs="仿宋_GB2312"/>
          <w:sz w:val="28"/>
          <w:szCs w:val="28"/>
          <w:u w:val="single"/>
        </w:rPr>
        <w:t>（以下统称为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b w:val="0"/>
          <w:bCs w:val="0"/>
          <w:sz w:val="28"/>
          <w:szCs w:val="28"/>
          <w:u w:val="single"/>
          <w:lang w:val="en-US" w:eastAsia="zh-CN"/>
        </w:rPr>
        <w:t>/</w:t>
      </w:r>
      <w:r>
        <w:rPr>
          <w:rFonts w:hint="eastAsia" w:ascii="仿宋_GB2312" w:hAnsi="仿宋_GB2312" w:eastAsia="仿宋_GB2312" w:cs="仿宋_GB2312"/>
          <w:sz w:val="28"/>
          <w:szCs w:val="28"/>
          <w:u w:val="single"/>
        </w:rPr>
        <w:t>代表本级人民政府</w:t>
      </w:r>
      <w:r>
        <w:rPr>
          <w:rFonts w:hint="eastAsia" w:ascii="仿宋_GB2312" w:hAnsi="仿宋_GB2312" w:eastAsia="仿宋_GB2312" w:cs="仿宋_GB2312"/>
          <w:sz w:val="28"/>
          <w:szCs w:val="28"/>
          <w:u w:val="single"/>
          <w:lang w:eastAsia="zh-CN"/>
        </w:rPr>
        <w:t>履行出资人职责的机构</w:t>
      </w:r>
      <w:r>
        <w:rPr>
          <w:rFonts w:hint="eastAsia" w:ascii="仿宋_GB2312" w:hAnsi="仿宋_GB2312" w:eastAsia="仿宋_GB2312" w:cs="仿宋_GB2312"/>
          <w:sz w:val="28"/>
          <w:szCs w:val="28"/>
          <w:u w:val="single"/>
        </w:rPr>
        <w:t>、部门（以下统称为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color w:val="FF0000"/>
          <w:sz w:val="28"/>
          <w:szCs w:val="28"/>
          <w:lang w:val="en-US" w:eastAsia="zh-CN"/>
        </w:rPr>
        <w:t>(注：按实际情况选择其一。）</w:t>
      </w:r>
      <w:r>
        <w:rPr>
          <w:rFonts w:hint="eastAsia" w:ascii="仿宋_GB2312" w:hAnsi="仿宋_GB2312" w:eastAsia="仿宋_GB2312" w:cs="仿宋_GB2312"/>
          <w:sz w:val="28"/>
          <w:szCs w:val="28"/>
        </w:rPr>
        <w:t>依法对公司国有资产实施监督管理。</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第四条</w:t>
      </w:r>
      <w:r>
        <w:rPr>
          <w:rFonts w:hint="eastAsia" w:ascii="仿宋_GB2312" w:hAnsi="仿宋_GB2312" w:eastAsia="仿宋_GB2312" w:cs="仿宋_GB2312"/>
          <w:spacing w:val="-2"/>
          <w:kern w:val="0"/>
          <w:sz w:val="28"/>
          <w:szCs w:val="28"/>
        </w:rPr>
        <w:t xml:space="preserve"> 本章程为本公司行为准则，对公司、</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pacing w:val="-2"/>
          <w:kern w:val="0"/>
          <w:sz w:val="28"/>
          <w:szCs w:val="28"/>
        </w:rPr>
        <w:t>、董事、监事、高级管理人员具有约束力。</w:t>
      </w:r>
    </w:p>
    <w:p>
      <w:pPr>
        <w:keepNext w:val="0"/>
        <w:keepLines w:val="0"/>
        <w:pageBreakBefore w:val="0"/>
        <w:wordWrap/>
        <w:bidi w:val="0"/>
        <w:adjustRightInd/>
        <w:snapToGrid/>
        <w:spacing w:line="460" w:lineRule="exact"/>
        <w:ind w:firstLine="562" w:firstLineChars="200"/>
        <w:textAlignment w:val="auto"/>
        <w:rPr>
          <w:rFonts w:ascii="宋体" w:hAnsi="宋体" w:eastAsia="宋体" w:cs="宋体"/>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公司设党组织。公司党组织按管理权限由上级党组织批准设立。党组织在公司发挥领导核心和政治核心作用，承担从严管党治党责任，落实党风廉政建设主体责任，负责保证监督党和国家的方针政策在本公司的贯彻执行，前置研究讨论企业重大问题，落实党管干部和党管人才原则，坚持完善双向进入、交叉任职的领导体制，加强对公司领导人员的监督，领导公司思想政治工作、精神文明建设和工会、共青团等群众组织。</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注：国有独资有限责任公司中中国共产党的组织，按照中国共产党章程的规定发挥领导作用，研究讨论公司重大经营管理事项，支持公司的组织机构依法行使职权。国有独资有限公司党组织有关内容可在章程具体规定。）</w:t>
      </w:r>
    </w:p>
    <w:p>
      <w:pPr>
        <w:keepNext w:val="0"/>
        <w:keepLines w:val="0"/>
        <w:pageBreakBefore w:val="0"/>
        <w:wordWrap/>
        <w:bidi w:val="0"/>
        <w:adjustRightInd/>
        <w:snapToGrid/>
        <w:spacing w:line="460" w:lineRule="exact"/>
        <w:textAlignment w:val="auto"/>
        <w:rPr>
          <w:rFonts w:ascii="Microsoft JhengHei" w:hAnsi="Microsoft JhengHei" w:eastAsia="Microsoft JhengHei" w:cs="Times New Roman"/>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 xml:space="preserve">第二章  </w:t>
      </w:r>
      <w:r>
        <w:rPr>
          <w:rFonts w:ascii="黑体" w:hAnsi="黑体" w:eastAsia="黑体" w:cs="黑体"/>
          <w:b/>
          <w:kern w:val="0"/>
          <w:sz w:val="28"/>
          <w:szCs w:val="28"/>
        </w:rPr>
        <w:t>公司名称、住所、经营范围、营业期限及注册资本</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eepNext w:val="0"/>
        <w:keepLines w:val="0"/>
        <w:pageBreakBefore w:val="0"/>
        <w:kinsoku w:val="0"/>
        <w:wordWrap/>
        <w:overflowPunct w:val="0"/>
        <w:topLinePunct/>
        <w:autoSpaceDE w:val="0"/>
        <w:autoSpaceDN w:val="0"/>
        <w:bidi w:val="0"/>
        <w:adjustRightInd/>
        <w:snapToGrid/>
        <w:spacing w:line="46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eepNext w:val="0"/>
        <w:keepLines w:val="0"/>
        <w:pageBreakBefore w:val="0"/>
        <w:kinsoku w:val="0"/>
        <w:wordWrap/>
        <w:overflowPunct w:val="0"/>
        <w:topLinePunct/>
        <w:autoSpaceDE w:val="0"/>
        <w:autoSpaceDN w:val="0"/>
        <w:bidi w:val="0"/>
        <w:adjustRightInd/>
        <w:snapToGrid/>
        <w:spacing w:line="460" w:lineRule="exact"/>
        <w:ind w:left="276" w:hanging="276" w:hangingChars="1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eepNext w:val="0"/>
        <w:keepLines w:val="0"/>
        <w:pageBreakBefore w:val="0"/>
        <w:kinsoku w:val="0"/>
        <w:wordWrap/>
        <w:overflowPunct w:val="0"/>
        <w:topLinePunct/>
        <w:autoSpaceDE w:val="0"/>
        <w:autoSpaceDN w:val="0"/>
        <w:bidi w:val="0"/>
        <w:adjustRightInd/>
        <w:snapToGrid/>
        <w:spacing w:line="460" w:lineRule="exact"/>
        <w:ind w:left="276" w:hanging="276" w:hangingChars="1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eepNext w:val="0"/>
        <w:keepLines w:val="0"/>
        <w:pageBreakBefore w:val="0"/>
        <w:kinsoku w:val="0"/>
        <w:wordWrap/>
        <w:overflowPunct w:val="0"/>
        <w:bidi w:val="0"/>
        <w:adjustRightInd/>
        <w:snapToGrid/>
        <w:spacing w:line="460" w:lineRule="exact"/>
        <w:ind w:firstLine="552" w:firstLineChars="200"/>
        <w:textAlignment w:val="auto"/>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p>
    <w:p>
      <w:pPr>
        <w:keepNext w:val="0"/>
        <w:keepLines w:val="0"/>
        <w:pageBreakBefore w:val="0"/>
        <w:wordWrap/>
        <w:bidi w:val="0"/>
        <w:adjustRightInd/>
        <w:snapToGrid/>
        <w:spacing w:line="460" w:lineRule="exact"/>
        <w:ind w:left="10" w:firstLine="543" w:firstLineChars="196"/>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第九条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color w:val="44546A" w:themeColor="text2"/>
          <w:spacing w:val="-2"/>
          <w:kern w:val="0"/>
          <w:sz w:val="28"/>
          <w:szCs w:val="28"/>
          <w:u w:val="single"/>
          <w14:textFill>
            <w14:solidFill>
              <w14:schemeClr w14:val="tx2"/>
            </w14:solidFill>
          </w14:textFill>
        </w:rPr>
        <w:t xml:space="preserve">            </w:t>
      </w:r>
      <w:r>
        <w:rPr>
          <w:rFonts w:hint="eastAsia" w:ascii="仿宋_GB2312" w:hAnsi="仿宋_GB2312" w:eastAsia="仿宋_GB2312" w:cs="仿宋_GB2312"/>
          <w:spacing w:val="-2"/>
          <w:kern w:val="0"/>
          <w:sz w:val="28"/>
          <w:szCs w:val="28"/>
        </w:rPr>
        <w:t>万元。</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公司可以增加注册资本和减少注册资本。</w:t>
      </w:r>
    </w:p>
    <w:p>
      <w:pPr>
        <w:keepNext w:val="0"/>
        <w:keepLines w:val="0"/>
        <w:pageBreakBefore w:val="0"/>
        <w:wordWrap/>
        <w:bidi w:val="0"/>
        <w:adjustRightInd/>
        <w:snapToGrid/>
        <w:spacing w:line="460" w:lineRule="exact"/>
        <w:jc w:val="center"/>
        <w:textAlignment w:val="auto"/>
        <w:rPr>
          <w:rFonts w:ascii="Microsoft JhengHei" w:hAnsi="Microsoft JhengHei" w:eastAsia="Microsoft JhengHei" w:cs="Times New Roman"/>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第三章  公司</w:t>
      </w:r>
      <w:r>
        <w:rPr>
          <w:rFonts w:hint="eastAsia" w:ascii="黑体" w:hAnsi="黑体" w:eastAsia="黑体" w:cs="黑体"/>
          <w:b/>
          <w:kern w:val="0"/>
          <w:sz w:val="28"/>
          <w:szCs w:val="28"/>
          <w:lang w:eastAsia="zh-CN"/>
        </w:rPr>
        <w:t>出资人</w:t>
      </w:r>
      <w:r>
        <w:rPr>
          <w:rFonts w:hint="eastAsia" w:ascii="黑体" w:hAnsi="黑体" w:eastAsia="黑体" w:cs="黑体"/>
          <w:b/>
          <w:kern w:val="0"/>
          <w:sz w:val="28"/>
          <w:szCs w:val="28"/>
        </w:rPr>
        <w:t>名称、出资额、出资日期、出资方式</w:t>
      </w:r>
    </w:p>
    <w:p>
      <w:pPr>
        <w:keepNext w:val="0"/>
        <w:keepLines w:val="0"/>
        <w:pageBreakBefore w:val="0"/>
        <w:widowControl/>
        <w:wordWrap/>
        <w:bidi w:val="0"/>
        <w:adjustRightInd/>
        <w:snapToGrid/>
        <w:spacing w:line="460" w:lineRule="exact"/>
        <w:ind w:firstLine="554" w:firstLineChars="200"/>
        <w:jc w:val="left"/>
        <w:textAlignment w:val="auto"/>
        <w:rPr>
          <w:rFonts w:ascii="仿宋_GB2312" w:hAnsi="仿宋_GB2312" w:eastAsia="仿宋_GB2312" w:cs="仿宋_GB2312"/>
          <w:b/>
          <w:kern w:val="0"/>
          <w:sz w:val="28"/>
          <w:szCs w:val="28"/>
        </w:rPr>
      </w:pPr>
      <w:r>
        <w:rPr>
          <w:rFonts w:hint="eastAsia" w:ascii="仿宋_GB2312" w:hAnsi="仿宋_GB2312" w:eastAsia="仿宋_GB2312" w:cs="仿宋_GB2312"/>
          <w:b/>
          <w:bCs/>
          <w:spacing w:val="-2"/>
          <w:kern w:val="0"/>
          <w:sz w:val="28"/>
          <w:szCs w:val="28"/>
        </w:rPr>
        <w:t>第十二条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bCs/>
          <w:kern w:val="0"/>
          <w:sz w:val="28"/>
          <w:szCs w:val="28"/>
          <w:lang w:eastAsia="zh-CN"/>
        </w:rPr>
        <w:t>的出资人</w:t>
      </w:r>
      <w:r>
        <w:rPr>
          <w:rFonts w:hint="eastAsia" w:ascii="仿宋_GB2312" w:hAnsi="仿宋_GB2312" w:eastAsia="仿宋_GB2312" w:cs="仿宋_GB2312"/>
          <w:bCs/>
          <w:kern w:val="0"/>
          <w:sz w:val="28"/>
          <w:szCs w:val="28"/>
        </w:rPr>
        <w:t>：</w:t>
      </w:r>
    </w:p>
    <w:p>
      <w:pPr>
        <w:keepNext w:val="0"/>
        <w:keepLines w:val="0"/>
        <w:pageBreakBefore w:val="0"/>
        <w:widowControl/>
        <w:wordWrap/>
        <w:bidi w:val="0"/>
        <w:adjustRightInd/>
        <w:snapToGrid/>
        <w:spacing w:line="460" w:lineRule="exact"/>
        <w:ind w:firstLine="560" w:firstLineChars="200"/>
        <w:jc w:val="lef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keepNext w:val="0"/>
        <w:keepLines w:val="0"/>
        <w:pageBreakBefore w:val="0"/>
        <w:widowControl/>
        <w:wordWrap/>
        <w:bidi w:val="0"/>
        <w:adjustRightInd/>
        <w:snapToGrid/>
        <w:spacing w:line="460" w:lineRule="exact"/>
        <w:ind w:firstLine="560" w:firstLineChars="200"/>
        <w:jc w:val="lef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证件名称：</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keepNext w:val="0"/>
        <w:keepLines w:val="0"/>
        <w:pageBreakBefore w:val="0"/>
        <w:widowControl/>
        <w:wordWrap/>
        <w:bidi w:val="0"/>
        <w:adjustRightInd/>
        <w:snapToGrid/>
        <w:spacing w:line="460" w:lineRule="exact"/>
        <w:ind w:firstLine="560" w:firstLineChars="200"/>
        <w:jc w:val="lef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证件号码：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keepNext w:val="0"/>
        <w:keepLines w:val="0"/>
        <w:pageBreakBefore w:val="0"/>
        <w:widowControl/>
        <w:wordWrap/>
        <w:bidi w:val="0"/>
        <w:adjustRightInd/>
        <w:snapToGrid/>
        <w:spacing w:line="460" w:lineRule="exact"/>
        <w:ind w:firstLine="560" w:firstLineChars="200"/>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bCs/>
          <w:spacing w:val="-2"/>
          <w:kern w:val="0"/>
          <w:sz w:val="28"/>
          <w:szCs w:val="28"/>
        </w:rPr>
        <w:t>第十三条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的出资额、出资方式和出资日期：</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的出资额、出资方式和出资日期：</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缴纳出资后应当依法公示；可以将缴纳情况记载于本条，并依法向公司登记机关备案本章程。</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认缴的出资额由</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按照公司章程的规定自公司成立之日起五年内缴足。</w:t>
      </w:r>
    </w:p>
    <w:p>
      <w:pPr>
        <w:keepNext w:val="0"/>
        <w:keepLines w:val="0"/>
        <w:pageBreakBefore w:val="0"/>
        <w:wordWrap/>
        <w:bidi w:val="0"/>
        <w:adjustRightInd/>
        <w:snapToGrid/>
        <w:spacing w:line="460" w:lineRule="exact"/>
        <w:ind w:firstLine="560" w:firstLineChars="200"/>
        <w:jc w:val="left"/>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认缴的出资额，由合并协议、分立决议或者决定约定。</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约定的各自的出资额、出资时间和出资方式。（一）</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的出资总额等于原非公司企业法人的净资产，出资方式为净资产出资，出资时间为改制日期。（二）净资产为负值时，</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应当补足负值，并按公司注册资本总额认缴出资。（三）改制后的注册资本总额大于净资产的，应当以认缴增资方式出资。）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以货币出资的，应当将货币出资足额存入有限责任公司在银行开设的账户；以非货币财产出资的，应当依法办理其财产权的转移手续。</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未按期足额缴纳出资的，除应当向公司足额缴纳外，还应当对给公司造成的损失承担赔偿责任。</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应当补足其差额。</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第十六条 </w:t>
      </w:r>
      <w:r>
        <w:rPr>
          <w:rFonts w:hint="eastAsia" w:ascii="仿宋_GB2312" w:hAnsi="仿宋_GB2312" w:eastAsia="仿宋_GB2312" w:cs="仿宋_GB2312"/>
          <w:spacing w:val="-2"/>
          <w:kern w:val="0"/>
          <w:sz w:val="28"/>
          <w:szCs w:val="28"/>
        </w:rPr>
        <w:t>有限责任公司成立后，董事会应当对</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的出资情况进行核查，发现</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未按期足额缴纳公司章程规定的出资的，应当由公司向</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发出书面催缴书，催缴出资。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不得抽逃出资。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应当返还抽逃的出资；给公司造成损失的，负有责任的董事、监事、高级管理人员应当与该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承担连带赔偿责任。</w:t>
      </w:r>
    </w:p>
    <w:p>
      <w:pPr>
        <w:keepNext w:val="0"/>
        <w:keepLines w:val="0"/>
        <w:pageBreakBefore w:val="0"/>
        <w:wordWrap/>
        <w:bidi w:val="0"/>
        <w:adjustRightInd/>
        <w:snapToGrid/>
        <w:spacing w:line="460" w:lineRule="exact"/>
        <w:ind w:firstLine="562" w:firstLineChars="200"/>
        <w:textAlignment w:val="auto"/>
        <w:rPr>
          <w:rFonts w:ascii="宋体" w:hAnsi="宋体" w:eastAsia="宋体" w:cs="Times New Roman"/>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提前缴纳出资。</w:t>
      </w:r>
    </w:p>
    <w:p>
      <w:pPr>
        <w:keepNext w:val="0"/>
        <w:keepLines w:val="0"/>
        <w:pageBreakBefore w:val="0"/>
        <w:wordWrap/>
        <w:bidi w:val="0"/>
        <w:adjustRightInd/>
        <w:snapToGrid/>
        <w:spacing w:line="460" w:lineRule="exact"/>
        <w:jc w:val="center"/>
        <w:textAlignment w:val="auto"/>
        <w:rPr>
          <w:rFonts w:ascii="黑体" w:eastAsia="黑体"/>
          <w:sz w:val="28"/>
          <w:szCs w:val="28"/>
        </w:rPr>
      </w:pPr>
    </w:p>
    <w:p>
      <w:pPr>
        <w:keepNext w:val="0"/>
        <w:keepLines w:val="0"/>
        <w:pageBreakBefore w:val="0"/>
        <w:wordWrap/>
        <w:bidi w:val="0"/>
        <w:adjustRightInd/>
        <w:snapToGrid/>
        <w:spacing w:line="460" w:lineRule="exact"/>
        <w:jc w:val="center"/>
        <w:textAlignment w:val="auto"/>
        <w:rPr>
          <w:rFonts w:ascii="宋体" w:hAnsi="宋体" w:cs="宋体"/>
          <w:b/>
          <w:bCs/>
          <w:sz w:val="28"/>
          <w:szCs w:val="28"/>
        </w:rPr>
      </w:pPr>
      <w:r>
        <w:rPr>
          <w:rFonts w:hint="eastAsia" w:ascii="黑体" w:eastAsia="黑体"/>
          <w:b/>
          <w:bCs/>
          <w:sz w:val="28"/>
          <w:szCs w:val="28"/>
        </w:rPr>
        <w:t xml:space="preserve">第四章 </w:t>
      </w:r>
      <w:r>
        <w:rPr>
          <w:rFonts w:hint="eastAsia" w:ascii="黑体" w:eastAsia="黑体"/>
          <w:b/>
          <w:bCs/>
          <w:sz w:val="28"/>
          <w:szCs w:val="28"/>
          <w:lang w:eastAsia="zh-CN"/>
        </w:rPr>
        <w:t>出资人</w:t>
      </w:r>
      <w:r>
        <w:rPr>
          <w:rFonts w:hint="eastAsia" w:ascii="黑体" w:eastAsia="黑体"/>
          <w:b/>
          <w:bCs/>
          <w:sz w:val="28"/>
          <w:szCs w:val="28"/>
        </w:rPr>
        <w:t>的职权、义务</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sz w:val="28"/>
          <w:szCs w:val="28"/>
        </w:rPr>
        <w:t xml:space="preserve">  本公司不设股东会，由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行使下列股东会职权：</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（一）委派或更换公司董事会成员中的非职工代表，并从董事会成员中指定公司董事长，决定有关董事的报酬事项；</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（二）审议批准董事会的工作报告；</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（三）审议批准监事的工作报告；</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（四）审议批准公司的利润分配方案和弥补亏损方案；</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（五）对公司合并、分立、解散、申请破产，增加或者减少注册资本、变更公司形式作出决定；</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（六）对发行公司债券作出决定；</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（七）修改公司章程。</w:t>
      </w:r>
    </w:p>
    <w:p>
      <w:pPr>
        <w:keepNext w:val="0"/>
        <w:keepLines w:val="0"/>
        <w:pageBreakBefore w:val="0"/>
        <w:wordWrap/>
        <w:bidi w:val="0"/>
        <w:adjustRightInd/>
        <w:snapToGrid/>
        <w:spacing w:line="460" w:lineRule="exact"/>
        <w:ind w:left="319" w:leftChars="152" w:firstLine="280" w:firstLineChars="1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（注：1.可以依法规定</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的其他职权，并记载于本条。</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的部分职权，但公司章程的制定和修改，公司的合并、分立、解散、申请破产，增加或者减少注册资本，分配利润，应当由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可以授权董事会对发行公司债券作出决议。</w:t>
      </w:r>
    </w:p>
    <w:p>
      <w:pPr>
        <w:keepNext w:val="0"/>
        <w:keepLines w:val="0"/>
        <w:pageBreakBefore w:val="0"/>
        <w:tabs>
          <w:tab w:val="center" w:pos="4153"/>
        </w:tabs>
        <w:wordWrap/>
        <w:bidi w:val="0"/>
        <w:adjustRightInd/>
        <w:snapToGrid/>
        <w:spacing w:line="460" w:lineRule="exact"/>
        <w:ind w:firstLine="552" w:firstLineChars="200"/>
        <w:jc w:val="left"/>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本公司为重要的国有独资公司，</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在作出合并、分立、解散、申请破产的决定前，应当报本级人民政府批准。</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（注：重要的国有独资公司应当保留本款内容；如不属于重要的国有独资公司，请删除本款。）</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的义务：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pacing w:val="-2"/>
          <w:kern w:val="0"/>
          <w:sz w:val="28"/>
          <w:szCs w:val="28"/>
        </w:rPr>
        <w:t>应当按期足额缴纳本章程载明的出资额；</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（六）应当使公司财产独立于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 xml:space="preserve">自己的财产；          </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权利损害公司的利益；</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（九）不得滥用公司法人独立地位和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有限责任损害公司债权人的利益。</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的其他义务，并记载于本条。）</w:t>
      </w: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五</w:t>
      </w:r>
      <w:r>
        <w:rPr>
          <w:rFonts w:ascii="黑体" w:hAnsi="黑体" w:eastAsia="黑体" w:cs="Times New Roman"/>
          <w:b/>
          <w:kern w:val="0"/>
          <w:sz w:val="28"/>
          <w:szCs w:val="28"/>
        </w:rPr>
        <w:t>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第二十一条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第二十二条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u w:val="single"/>
        </w:rPr>
        <w:t>指定</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、董事会决议的行为，不得违反对公司的忠实义务和勤勉义务。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利益的， 应当承担相应的责任。</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对法定代表人职权的限制，不得对抗善意相对人。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第二十五条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keepNext w:val="0"/>
        <w:keepLines w:val="0"/>
        <w:pageBreakBefore w:val="0"/>
        <w:wordWrap/>
        <w:bidi w:val="0"/>
        <w:adjustRightInd/>
        <w:snapToGrid/>
        <w:spacing w:line="460" w:lineRule="exact"/>
        <w:jc w:val="center"/>
        <w:textAlignment w:val="auto"/>
        <w:rPr>
          <w:rFonts w:ascii="黑体" w:hAnsi="黑体" w:eastAsia="黑体" w:cs="Times New Roman"/>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六</w:t>
      </w:r>
      <w:r>
        <w:rPr>
          <w:rFonts w:ascii="黑体" w:hAnsi="黑体" w:eastAsia="黑体" w:cs="Times New Roman"/>
          <w:b/>
          <w:kern w:val="0"/>
          <w:sz w:val="28"/>
          <w:szCs w:val="28"/>
        </w:rPr>
        <w:t xml:space="preserve">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b/>
          <w:bCs/>
          <w:i/>
          <w:iCs/>
          <w:sz w:val="28"/>
          <w:szCs w:val="28"/>
          <w:shd w:val="clear" w:color="FFFFFF" w:fill="D9D9D9"/>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z w:val="28"/>
          <w:szCs w:val="28"/>
        </w:rPr>
        <w:t>公司董事会由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人组成，含职工代表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人，外部董事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p>
      <w:pPr>
        <w:keepNext w:val="0"/>
        <w:keepLines w:val="0"/>
        <w:pageBreakBefore w:val="0"/>
        <w:tabs>
          <w:tab w:val="center" w:pos="4153"/>
        </w:tabs>
        <w:wordWrap/>
        <w:bidi w:val="0"/>
        <w:adjustRightInd/>
        <w:snapToGrid/>
        <w:spacing w:line="4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董事会成员由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委派产生，其中职工代表董事</w:t>
      </w:r>
      <w:r>
        <w:rPr>
          <w:rFonts w:hint="eastAsia" w:ascii="仿宋_GB2312" w:hAnsi="仿宋_GB2312" w:eastAsia="仿宋_GB2312" w:cs="仿宋_GB2312"/>
          <w:spacing w:val="-2"/>
          <w:kern w:val="0"/>
          <w:sz w:val="28"/>
          <w:szCs w:val="28"/>
        </w:rPr>
        <w:t>由职工代表大会选举产生。</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z w:val="28"/>
          <w:szCs w:val="28"/>
        </w:rPr>
        <w:t>设董事长一人，由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从董事会成员中指定。</w:t>
      </w:r>
    </w:p>
    <w:p>
      <w:pPr>
        <w:keepNext w:val="0"/>
        <w:keepLines w:val="0"/>
        <w:pageBreakBefore w:val="0"/>
        <w:wordWrap/>
        <w:bidi w:val="0"/>
        <w:adjustRightInd/>
        <w:snapToGrid/>
        <w:spacing w:line="460" w:lineRule="exact"/>
        <w:ind w:firstLine="552" w:firstLineChars="200"/>
        <w:textAlignment w:val="auto"/>
        <w:rPr>
          <w:rFonts w:hint="eastAsia" w:ascii="仿宋_GB2312" w:hAnsi="仿宋_GB2312" w:eastAsia="仿宋_GB2312" w:cs="仿宋_GB2312"/>
          <w:color w:val="FF0000"/>
          <w:spacing w:val="-2"/>
          <w:kern w:val="0"/>
          <w:sz w:val="28"/>
          <w:szCs w:val="28"/>
          <w:lang w:eastAsia="zh-CN"/>
        </w:rPr>
      </w:pP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国有独资公司的董事会成员中，应当过半数为外部董事，并应当有公司职工代表。</w:t>
      </w:r>
      <w:r>
        <w:rPr>
          <w:rFonts w:hint="eastAsia" w:ascii="仿宋_GB2312" w:hAnsi="仿宋_GB2312" w:eastAsia="仿宋_GB2312" w:cs="仿宋_GB2312"/>
          <w:color w:val="FF0000"/>
          <w:spacing w:val="-2"/>
          <w:kern w:val="0"/>
          <w:sz w:val="28"/>
          <w:szCs w:val="28"/>
          <w:lang w:eastAsia="zh-CN"/>
        </w:rPr>
        <w:t>且外部董事不得兼任除审计委员会委员以外的职务，经理、副经理、党委（党组）书记等不能兼任职工代表董事，因此</w:t>
      </w:r>
      <w:r>
        <w:rPr>
          <w:rFonts w:hint="eastAsia" w:ascii="仿宋_GB2312" w:hAnsi="仿宋_GB2312" w:eastAsia="仿宋_GB2312" w:cs="仿宋_GB2312"/>
          <w:color w:val="FF0000"/>
          <w:spacing w:val="-2"/>
          <w:kern w:val="0"/>
          <w:sz w:val="28"/>
          <w:szCs w:val="28"/>
        </w:rPr>
        <w:t>董事会成员不</w:t>
      </w:r>
      <w:r>
        <w:rPr>
          <w:rFonts w:hint="eastAsia" w:ascii="仿宋_GB2312" w:hAnsi="仿宋_GB2312" w:eastAsia="仿宋_GB2312" w:cs="仿宋_GB2312"/>
          <w:color w:val="FF0000"/>
          <w:spacing w:val="-2"/>
          <w:kern w:val="0"/>
          <w:sz w:val="28"/>
          <w:szCs w:val="28"/>
          <w:lang w:eastAsia="zh-CN"/>
        </w:rPr>
        <w:t>得</w:t>
      </w:r>
      <w:r>
        <w:rPr>
          <w:rFonts w:hint="eastAsia" w:ascii="仿宋_GB2312" w:hAnsi="仿宋_GB2312" w:eastAsia="仿宋_GB2312" w:cs="仿宋_GB2312"/>
          <w:color w:val="FF0000"/>
          <w:spacing w:val="-2"/>
          <w:kern w:val="0"/>
          <w:sz w:val="28"/>
          <w:szCs w:val="28"/>
        </w:rPr>
        <w:t>少于</w:t>
      </w:r>
      <w:r>
        <w:rPr>
          <w:rFonts w:hint="eastAsia" w:ascii="仿宋_GB2312" w:hAnsi="仿宋_GB2312" w:eastAsia="仿宋_GB2312" w:cs="仿宋_GB2312"/>
          <w:color w:val="FF0000"/>
          <w:spacing w:val="-2"/>
          <w:kern w:val="0"/>
          <w:sz w:val="28"/>
          <w:szCs w:val="28"/>
          <w:lang w:eastAsia="zh-CN"/>
        </w:rPr>
        <w:t>五</w:t>
      </w:r>
      <w:r>
        <w:rPr>
          <w:rFonts w:hint="eastAsia" w:ascii="仿宋_GB2312" w:hAnsi="仿宋_GB2312" w:eastAsia="仿宋_GB2312" w:cs="仿宋_GB2312"/>
          <w:color w:val="FF0000"/>
          <w:spacing w:val="-2"/>
          <w:kern w:val="0"/>
          <w:sz w:val="28"/>
          <w:szCs w:val="28"/>
        </w:rPr>
        <w:t>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rPr>
        <w:t>.设副董事长的，第三款请增加“</w:t>
      </w:r>
      <w:r>
        <w:rPr>
          <w:rFonts w:hint="eastAsia" w:ascii="仿宋_GB2312" w:hAnsi="仿宋_GB2312" w:eastAsia="仿宋_GB2312" w:cs="仿宋_GB2312"/>
          <w:color w:val="FF0000"/>
          <w:sz w:val="28"/>
          <w:szCs w:val="28"/>
        </w:rPr>
        <w:t>副董事长</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rPr>
        <w:t>人”</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董事会行使下列职权：</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（一）执行</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的决定，并向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报告工作；</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（二）决定公司经</w:t>
      </w:r>
      <w:bookmarkStart w:id="0" w:name="_GoBack"/>
      <w:bookmarkEnd w:id="0"/>
      <w:r>
        <w:rPr>
          <w:rFonts w:hint="eastAsia" w:ascii="仿宋_GB2312" w:hAnsi="仿宋_GB2312" w:eastAsia="仿宋_GB2312" w:cs="仿宋_GB2312"/>
          <w:iCs/>
          <w:sz w:val="28"/>
          <w:szCs w:val="28"/>
        </w:rPr>
        <w:t>营计划和投资方案；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（三）制订公司的利润分配方案和弥补亏损方案；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（四）制订公司增加或者减少注册资本以及发行公司债券的方案；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（五）制订公司合并、分立、解散或者变更公司形式的方案；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（六）决定公司内部管理机构的设置；</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（七）决定聘任或者解聘公司经理及其报酬事项，并根据经理的提名决定聘任或者解聘公司副经理、财务负责人及其报酬事项；</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（八）制定公司的基本管理制度。</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（注：1.可以约定董事会的其他职权，并记载于本条。</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会的部分职权，但公司章程的制定和修改，公司的合并、分立、解散、申请破产，增加或者减少注册资本，分配利润必须由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3.如授权董事会行使部分职权，则</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职权应相应修改。）</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董事会的议事方式和表决程序：</w:t>
      </w:r>
    </w:p>
    <w:p>
      <w:pPr>
        <w:keepNext w:val="0"/>
        <w:keepLines w:val="0"/>
        <w:pageBreakBefore w:val="0"/>
        <w:numPr>
          <w:ilvl w:val="0"/>
          <w:numId w:val="1"/>
        </w:numPr>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召开董事会会议应当于会议召开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十五</w:t>
      </w:r>
      <w:r>
        <w:rPr>
          <w:rFonts w:hint="eastAsia" w:ascii="仿宋_GB2312" w:hAnsi="仿宋_GB2312" w:eastAsia="仿宋_GB2312" w:cs="仿宋_GB2312"/>
          <w:spacing w:val="-2"/>
          <w:kern w:val="0"/>
          <w:sz w:val="28"/>
          <w:szCs w:val="28"/>
        </w:rPr>
        <w:t>日前通知全体董事；</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（注：可约定为15日以外的日期，并修改本项。）</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（二）董事会会议由董事长召集和主持；董事长不能履行职务或者不履行职务的，由半数以上董事共同推举一名董事召集和主持；</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注：如设副董事长的，本项修改为：董事会会议由董事长召集和主持；董事长不能履行职务或者不履行职务的，由副董事长召集和主持；副董事长不能履行职务或者不履行职务的，由半数以上董事共同推举一名董事召集和主持；）</w:t>
      </w:r>
      <w:r>
        <w:rPr>
          <w:rFonts w:hint="eastAsia" w:ascii="仿宋_GB2312" w:hAnsi="仿宋_GB2312" w:eastAsia="仿宋_GB2312" w:cs="仿宋_GB2312"/>
          <w:spacing w:val="-2"/>
          <w:kern w:val="0"/>
          <w:sz w:val="28"/>
          <w:szCs w:val="28"/>
        </w:rPr>
        <w:t xml:space="preserve">                        </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highlight w:val="none"/>
        </w:rPr>
      </w:pPr>
      <w:r>
        <w:rPr>
          <w:rFonts w:hint="eastAsia" w:ascii="仿宋_GB2312" w:hAnsi="仿宋_GB2312" w:eastAsia="仿宋_GB2312" w:cs="仿宋_GB2312"/>
          <w:b/>
          <w:kern w:val="0"/>
          <w:sz w:val="28"/>
          <w:szCs w:val="28"/>
          <w:highlight w:val="none"/>
        </w:rPr>
        <w:t xml:space="preserve">第三十条 </w:t>
      </w:r>
      <w:r>
        <w:rPr>
          <w:rFonts w:hint="eastAsia" w:ascii="仿宋_GB2312" w:hAnsi="仿宋_GB2312" w:eastAsia="仿宋_GB2312" w:cs="仿宋_GB2312"/>
          <w:spacing w:val="-2"/>
          <w:kern w:val="0"/>
          <w:sz w:val="28"/>
          <w:szCs w:val="28"/>
          <w:highlight w:val="none"/>
        </w:rPr>
        <w:t>公司设经理，由董事会聘任产生。经</w:t>
      </w:r>
      <w:r>
        <w:rPr>
          <w:rFonts w:hint="eastAsia" w:ascii="仿宋_GB2312" w:hAnsi="仿宋_GB2312" w:eastAsia="仿宋_GB2312" w:cs="仿宋_GB2312"/>
          <w:spacing w:val="-2"/>
          <w:kern w:val="0"/>
          <w:sz w:val="28"/>
          <w:szCs w:val="28"/>
          <w:highlight w:val="none"/>
          <w:lang w:eastAsia="zh-CN"/>
        </w:rPr>
        <w:t>出资人</w:t>
      </w:r>
      <w:r>
        <w:rPr>
          <w:rFonts w:hint="eastAsia" w:ascii="仿宋_GB2312" w:hAnsi="仿宋_GB2312" w:eastAsia="仿宋_GB2312" w:cs="仿宋_GB2312"/>
          <w:spacing w:val="-2"/>
          <w:kern w:val="0"/>
          <w:sz w:val="28"/>
          <w:szCs w:val="28"/>
          <w:highlight w:val="none"/>
        </w:rPr>
        <w:t>同意，董事会成员可以兼任经理。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highlight w:val="none"/>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highlight w:val="none"/>
        </w:rPr>
      </w:pPr>
      <w:r>
        <w:rPr>
          <w:rFonts w:hint="eastAsia" w:ascii="仿宋_GB2312" w:hAnsi="仿宋_GB2312" w:eastAsia="仿宋_GB2312" w:cs="仿宋_GB2312"/>
          <w:spacing w:val="-2"/>
          <w:kern w:val="0"/>
          <w:sz w:val="28"/>
          <w:szCs w:val="28"/>
          <w:highlight w:val="none"/>
        </w:rPr>
        <w:t>经理列席董事会会议。</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bCs/>
          <w:kern w:val="0"/>
          <w:sz w:val="28"/>
          <w:szCs w:val="28"/>
        </w:rPr>
        <w:t>公司不设监事会，设监事1人，由</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委派产生。</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董事、高级管理人员不得兼任监事。</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spacing w:val="-2"/>
          <w:kern w:val="0"/>
          <w:sz w:val="28"/>
          <w:szCs w:val="28"/>
        </w:rPr>
        <w:t>监事行使下列职权：</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（一）检查公司财务；</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（二）对董事、高级管理人员执行公司职务的行为进行监督，对违反法律、行政法规、公司章程或者</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决定的董事、高级管理人员提出解任的建议；</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（三）当董事、高级管理人员的行为损害公司的利益时， 要求董事、高级管理人员予以纠正；</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提出提案；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（五）依照《公司法》第一百八十九条的规定，对董事、高级管理人员提起诉讼。</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ind w:firstLine="831" w:firstLineChars="300"/>
        <w:textAlignment w:val="auto"/>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第七章  公司董事、监事、高级管理人员资格和义务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有下列情形之一的，不得担任公司的董事、监事、高级管理人员：</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董事、监事、高级管理人员不得有下列行为：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公司的董事、高级管理人员，未经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同意，不得在其他有限责任公司、股份有限公司或者其他经济组织兼职。</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（注：可以约定经董事会同意，并修改本款。）</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决议通过。（二）根据法律、行政法规或者公司章程的规定，公司不能利用该商业机会。</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（注：可以约定经董事会同意，并修改本条。）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决议通过，不得自营或者为他人经营与其任职公司同类的业务。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（注：可以约定经董事会同意，并修改本条。）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董事会对本章程第三十九条至第四十一条规定的事项决议时，关联董事不得参与表决，其表决权不计入表决权总数。出席董事会会议的无关联关系董事人数不足三人的，应当将该事项提交</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审议。</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八</w:t>
      </w:r>
      <w:r>
        <w:rPr>
          <w:rFonts w:hint="eastAsia" w:ascii="黑体" w:hAnsi="黑体" w:eastAsia="黑体" w:cs="黑体"/>
          <w:b/>
          <w:kern w:val="0"/>
          <w:sz w:val="28"/>
          <w:szCs w:val="28"/>
        </w:rPr>
        <w:t>章  公司财务、会计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bCs/>
          <w:kern w:val="0"/>
          <w:sz w:val="28"/>
          <w:szCs w:val="28"/>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bCs/>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决定，还可以从税后利润中提取任意公积金。</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bCs/>
          <w:kern w:val="0"/>
          <w:sz w:val="28"/>
          <w:szCs w:val="28"/>
        </w:rPr>
        <w:t>公司违反《公司法》的规定向</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分配利润的，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应当将违反规定分配的利润退还公司；给公司造成损失的，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及负有责任的董事、监事、高级管理人员应当承担赔偿责任。</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作出分配利润的决定的，董事会应当在</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决定作出之日起六个月内进行分配。</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bCs/>
          <w:kern w:val="0"/>
          <w:sz w:val="28"/>
          <w:szCs w:val="28"/>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就解聘会计师事务所进行表决时，应当允许会计师事务所陈述意见。</w:t>
      </w:r>
    </w:p>
    <w:p>
      <w:pPr>
        <w:keepNext w:val="0"/>
        <w:keepLines w:val="0"/>
        <w:pageBreakBefore w:val="0"/>
        <w:wordWrap/>
        <w:bidi w:val="0"/>
        <w:adjustRightInd/>
        <w:snapToGrid/>
        <w:spacing w:line="460" w:lineRule="exact"/>
        <w:ind w:firstLine="552" w:firstLineChars="200"/>
        <w:textAlignment w:val="auto"/>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公司的解散、清算</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公司因下列原因解散：</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决定解散；</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决定另选他人组成。</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清算组在清算期间行使下列职权：</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分配。</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第五十六条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公司清算结束后，清算组应当制作清算报告，报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或者人民法院确认，并报送公司登记机关，申请注销公司登记。</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第五十七条</w:t>
      </w:r>
      <w:r>
        <w:rPr>
          <w:rFonts w:hint="eastAsia" w:ascii="仿宋_GB2312" w:hAnsi="仿宋_GB2312" w:eastAsia="仿宋_GB2312" w:cs="仿宋_GB2312"/>
          <w:spacing w:val="-2"/>
          <w:kern w:val="0"/>
          <w:sz w:val="28"/>
          <w:szCs w:val="28"/>
        </w:rPr>
        <w:t xml:space="preserve"> 公司在存续期间未产生债务，或者已清偿全部债务的，经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承诺，可以按照《公司法》第二百四十条的规定通过简易程序注销公司登记。</w:t>
      </w:r>
    </w:p>
    <w:p>
      <w:pPr>
        <w:keepNext w:val="0"/>
        <w:keepLines w:val="0"/>
        <w:pageBreakBefore w:val="0"/>
        <w:wordWrap/>
        <w:bidi w:val="0"/>
        <w:adjustRightInd/>
        <w:snapToGrid/>
        <w:spacing w:line="460" w:lineRule="exact"/>
        <w:textAlignment w:val="auto"/>
        <w:rPr>
          <w:rFonts w:ascii="宋体" w:hAnsi="宋体" w:eastAsia="宋体" w:cs="Times New Roman"/>
          <w:spacing w:val="-2"/>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ascii="黑体" w:hAnsi="黑体" w:eastAsia="黑体" w:cs="黑体"/>
          <w:b/>
          <w:kern w:val="0"/>
          <w:sz w:val="28"/>
          <w:szCs w:val="28"/>
        </w:rPr>
        <w:t>第</w:t>
      </w:r>
      <w:r>
        <w:rPr>
          <w:rFonts w:hint="eastAsia" w:ascii="黑体" w:hAnsi="黑体" w:eastAsia="黑体" w:cs="黑体"/>
          <w:b/>
          <w:kern w:val="0"/>
          <w:sz w:val="28"/>
          <w:szCs w:val="28"/>
        </w:rPr>
        <w:t>十</w:t>
      </w:r>
      <w:r>
        <w:rPr>
          <w:rFonts w:ascii="黑体" w:hAnsi="黑体" w:eastAsia="黑体" w:cs="黑体"/>
          <w:b/>
          <w:kern w:val="0"/>
          <w:sz w:val="28"/>
          <w:szCs w:val="28"/>
        </w:rPr>
        <w:t xml:space="preserve">章 </w:t>
      </w:r>
      <w:r>
        <w:rPr>
          <w:rFonts w:hint="eastAsia" w:ascii="黑体" w:hAnsi="黑体" w:eastAsia="黑体" w:cs="黑体"/>
          <w:b/>
          <w:kern w:val="0"/>
          <w:sz w:val="28"/>
          <w:szCs w:val="28"/>
        </w:rPr>
        <w:t xml:space="preserve"> </w:t>
      </w:r>
      <w:r>
        <w:rPr>
          <w:rFonts w:ascii="黑体" w:hAnsi="黑体" w:eastAsia="黑体" w:cs="黑体"/>
          <w:b/>
          <w:kern w:val="0"/>
          <w:sz w:val="28"/>
          <w:szCs w:val="28"/>
        </w:rPr>
        <w:t>公司的其他规定</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第五十八条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、董事、监事、高级管理人员应当将联系方式（包括通信地址、电话、电子邮箱等）报公司置备，发生变动的，应及时报公司予以更新。</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第五十九条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、董事会、监事召开会议和表决可以采用电子通信方式。</w:t>
      </w:r>
    </w:p>
    <w:p>
      <w:pPr>
        <w:keepNext w:val="0"/>
        <w:keepLines w:val="0"/>
        <w:pageBreakBefore w:val="0"/>
        <w:wordWrap/>
        <w:bidi w:val="0"/>
        <w:adjustRightInd/>
        <w:snapToGrid/>
        <w:spacing w:line="460" w:lineRule="exact"/>
        <w:ind w:firstLine="554" w:firstLineChars="200"/>
        <w:textAlignment w:val="auto"/>
        <w:rPr>
          <w:rFonts w:hint="eastAsia" w:ascii="仿宋_GB2312" w:hAnsi="仿宋_GB2312" w:eastAsia="仿宋_GB2312" w:cs="仿宋_GB2312"/>
          <w:color w:val="FF0000"/>
          <w:spacing w:val="-2"/>
          <w:kern w:val="0"/>
          <w:sz w:val="28"/>
          <w:szCs w:val="28"/>
          <w:lang w:eastAsia="zh-CN"/>
        </w:rPr>
      </w:pPr>
      <w:r>
        <w:rPr>
          <w:rFonts w:hint="eastAsia" w:ascii="仿宋_GB2312" w:hAnsi="仿宋_GB2312" w:eastAsia="仿宋_GB2312" w:cs="仿宋_GB2312"/>
          <w:b/>
          <w:bCs/>
          <w:spacing w:val="-2"/>
          <w:kern w:val="0"/>
          <w:sz w:val="28"/>
          <w:szCs w:val="28"/>
        </w:rPr>
        <w:t>第六十条</w:t>
      </w:r>
      <w:r>
        <w:rPr>
          <w:rFonts w:hint="eastAsia" w:ascii="仿宋_GB2312" w:hAnsi="仿宋_GB2312" w:eastAsia="仿宋_GB2312" w:cs="仿宋_GB2312"/>
          <w:b/>
          <w:bCs/>
          <w:spacing w:val="-2"/>
          <w:kern w:val="0"/>
          <w:sz w:val="28"/>
          <w:szCs w:val="28"/>
          <w:lang w:val="en-US" w:eastAsia="zh-CN"/>
        </w:rPr>
        <w:t xml:space="preserve">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决定</w:t>
      </w:r>
      <w:r>
        <w:rPr>
          <w:rFonts w:hint="eastAsia" w:ascii="仿宋_GB2312" w:hAnsi="仿宋_GB2312" w:eastAsia="仿宋_GB2312" w:cs="仿宋_GB2312"/>
          <w:spacing w:val="-2"/>
          <w:kern w:val="0"/>
          <w:sz w:val="28"/>
          <w:szCs w:val="28"/>
        </w:rPr>
        <w:t>。法律规定公司不得成为对所投资企业的债务承担连带责任的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的，从其规定。</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可以约定由董事会决议，并修改本</w:t>
      </w:r>
      <w:r>
        <w:rPr>
          <w:rFonts w:hint="eastAsia" w:ascii="仿宋_GB2312" w:hAnsi="仿宋_GB2312" w:eastAsia="仿宋_GB2312" w:cs="仿宋_GB2312"/>
          <w:color w:val="FF0000"/>
          <w:spacing w:val="-2"/>
          <w:kern w:val="0"/>
          <w:sz w:val="28"/>
          <w:szCs w:val="28"/>
          <w:lang w:eastAsia="zh-CN"/>
        </w:rPr>
        <w:t>条</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z w:val="28"/>
          <w:szCs w:val="28"/>
        </w:rPr>
        <w:t>可以约定对投资或者担保的总额及单项投资或者担保的数额的限额规定，并记载于本条。）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keepNext w:val="0"/>
        <w:keepLines w:val="0"/>
        <w:pageBreakBefore w:val="0"/>
        <w:wordWrap/>
        <w:bidi w:val="0"/>
        <w:adjustRightInd/>
        <w:snapToGrid/>
        <w:spacing w:line="460" w:lineRule="exact"/>
        <w:ind w:firstLine="630"/>
        <w:textAlignment w:val="auto"/>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p>
    <w:p>
      <w:pPr>
        <w:keepNext w:val="0"/>
        <w:keepLines w:val="0"/>
        <w:pageBreakBefore w:val="0"/>
        <w:wordWrap/>
        <w:bidi w:val="0"/>
        <w:adjustRightInd/>
        <w:snapToGrid/>
        <w:spacing w:line="460" w:lineRule="exact"/>
        <w:textAlignment w:val="auto"/>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keepNext w:val="0"/>
        <w:keepLines w:val="0"/>
        <w:pageBreakBefore w:val="0"/>
        <w:wordWrap/>
        <w:bidi w:val="0"/>
        <w:adjustRightInd/>
        <w:snapToGrid/>
        <w:spacing w:line="460" w:lineRule="exact"/>
        <w:textAlignment w:val="auto"/>
        <w:rPr>
          <w:rFonts w:ascii="宋体" w:hAnsi="宋体" w:eastAsia="宋体" w:cs="Times New Roman"/>
          <w:color w:val="ED0000"/>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签署</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法定代表人签字</w:t>
      </w:r>
      <w:r>
        <w:rPr>
          <w:rFonts w:hint="eastAsia" w:ascii="仿宋_GB2312" w:hAnsi="仿宋_GB2312" w:eastAsia="仿宋_GB2312" w:cs="仿宋_GB2312"/>
          <w:color w:val="FF0000"/>
          <w:spacing w:val="-2"/>
          <w:kern w:val="0"/>
          <w:sz w:val="28"/>
          <w:szCs w:val="28"/>
        </w:rPr>
        <w:t>（注：适用于变更登记或备案）</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color w:val="FF0000"/>
          <w:kern w:val="0"/>
          <w:sz w:val="28"/>
          <w:szCs w:val="28"/>
        </w:rPr>
      </w:pP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color w:val="FF0000"/>
          <w:kern w:val="0"/>
          <w:sz w:val="28"/>
          <w:szCs w:val="28"/>
        </w:rPr>
      </w:pP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left="1265" w:right="561" w:hanging="1264" w:hangingChars="600"/>
        <w:rPr>
          <w:rFonts w:ascii="仿宋_GB2312" w:eastAsia="仿宋_GB2312" w:cs="仿宋_GB2312"/>
          <w:b/>
          <w:i/>
          <w:color w:val="00B0F0"/>
          <w:szCs w:val="21"/>
          <w:shd w:val="clear" w:color="auto" w:fill="D9D9D9"/>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w:t>
      </w:r>
      <w:r>
        <w:rPr>
          <w:rFonts w:hint="eastAsia" w:ascii="仿宋_GB2312" w:hAnsi="Calibri" w:eastAsia="仿宋_GB2312" w:cs="仿宋_GB2312"/>
          <w:szCs w:val="21"/>
          <w:lang w:eastAsia="zh-CN"/>
        </w:rPr>
        <w:t>出资人</w:t>
      </w:r>
      <w:r>
        <w:rPr>
          <w:rFonts w:hint="eastAsia" w:ascii="仿宋_GB2312" w:hAnsi="Calibri" w:eastAsia="仿宋_GB2312" w:cs="仿宋_GB2312"/>
          <w:szCs w:val="21"/>
        </w:rPr>
        <w:t>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560" w:lineRule="exact"/>
        <w:rPr>
          <w:rFonts w:ascii="宋体" w:hAnsi="宋体" w:eastAsia="宋体" w:cs="Times New Roman"/>
          <w:color w:val="ED0000"/>
          <w:spacing w:val="-2"/>
          <w:kern w:val="0"/>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042B7"/>
    <w:multiLevelType w:val="singleLevel"/>
    <w:tmpl w:val="8D9042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56D56C11"/>
    <w:rsid w:val="000D089D"/>
    <w:rsid w:val="000F6EA9"/>
    <w:rsid w:val="00132ECB"/>
    <w:rsid w:val="00153B0E"/>
    <w:rsid w:val="00204BB8"/>
    <w:rsid w:val="00250714"/>
    <w:rsid w:val="0028679B"/>
    <w:rsid w:val="002E4F1E"/>
    <w:rsid w:val="002F5A17"/>
    <w:rsid w:val="003818C7"/>
    <w:rsid w:val="00433E2F"/>
    <w:rsid w:val="0044195B"/>
    <w:rsid w:val="006705E8"/>
    <w:rsid w:val="00684654"/>
    <w:rsid w:val="007055B4"/>
    <w:rsid w:val="00764464"/>
    <w:rsid w:val="00872E9C"/>
    <w:rsid w:val="008A5F8A"/>
    <w:rsid w:val="009A3618"/>
    <w:rsid w:val="009E42F4"/>
    <w:rsid w:val="00AA630D"/>
    <w:rsid w:val="00AF0E09"/>
    <w:rsid w:val="00B4347F"/>
    <w:rsid w:val="00B60693"/>
    <w:rsid w:val="00C731D8"/>
    <w:rsid w:val="00CC0E0A"/>
    <w:rsid w:val="00DD560E"/>
    <w:rsid w:val="00E7652F"/>
    <w:rsid w:val="00E94936"/>
    <w:rsid w:val="00F66DE0"/>
    <w:rsid w:val="00F91194"/>
    <w:rsid w:val="00F93018"/>
    <w:rsid w:val="01C17A53"/>
    <w:rsid w:val="039F065C"/>
    <w:rsid w:val="03C2134C"/>
    <w:rsid w:val="068712F2"/>
    <w:rsid w:val="0A76392C"/>
    <w:rsid w:val="0BDC4598"/>
    <w:rsid w:val="0EBA6009"/>
    <w:rsid w:val="13F015BE"/>
    <w:rsid w:val="1464497A"/>
    <w:rsid w:val="17DD5103"/>
    <w:rsid w:val="1C1C6796"/>
    <w:rsid w:val="1C2D31E6"/>
    <w:rsid w:val="1CEC25BF"/>
    <w:rsid w:val="1E7253A5"/>
    <w:rsid w:val="1EAE09F3"/>
    <w:rsid w:val="1F7F096C"/>
    <w:rsid w:val="204A474C"/>
    <w:rsid w:val="209F6845"/>
    <w:rsid w:val="212666F0"/>
    <w:rsid w:val="22B74D56"/>
    <w:rsid w:val="23FD11D8"/>
    <w:rsid w:val="24A618C1"/>
    <w:rsid w:val="2A8C3C80"/>
    <w:rsid w:val="2C3B6ADF"/>
    <w:rsid w:val="2C560FAE"/>
    <w:rsid w:val="2D356EE1"/>
    <w:rsid w:val="2DCA2A1D"/>
    <w:rsid w:val="2E210DA6"/>
    <w:rsid w:val="2F963509"/>
    <w:rsid w:val="303B1683"/>
    <w:rsid w:val="30412871"/>
    <w:rsid w:val="30BB2AFC"/>
    <w:rsid w:val="31097D0B"/>
    <w:rsid w:val="31990FE3"/>
    <w:rsid w:val="336719CA"/>
    <w:rsid w:val="34BE3167"/>
    <w:rsid w:val="3507141A"/>
    <w:rsid w:val="352C2705"/>
    <w:rsid w:val="35910EBA"/>
    <w:rsid w:val="35C401CF"/>
    <w:rsid w:val="37FC26DC"/>
    <w:rsid w:val="38BC014E"/>
    <w:rsid w:val="3A2100D5"/>
    <w:rsid w:val="3C6E2B2A"/>
    <w:rsid w:val="40CC7620"/>
    <w:rsid w:val="4111515F"/>
    <w:rsid w:val="43D172C2"/>
    <w:rsid w:val="45B03376"/>
    <w:rsid w:val="467A4E17"/>
    <w:rsid w:val="488F1A2E"/>
    <w:rsid w:val="4A653DAC"/>
    <w:rsid w:val="4AA06446"/>
    <w:rsid w:val="4AFE455F"/>
    <w:rsid w:val="4B212C21"/>
    <w:rsid w:val="4C3E1BEE"/>
    <w:rsid w:val="4CDC0FDA"/>
    <w:rsid w:val="4FEE03A0"/>
    <w:rsid w:val="514172DE"/>
    <w:rsid w:val="52E54CC5"/>
    <w:rsid w:val="52FE2427"/>
    <w:rsid w:val="53BA6F17"/>
    <w:rsid w:val="552C0B0A"/>
    <w:rsid w:val="553032F0"/>
    <w:rsid w:val="56D56C11"/>
    <w:rsid w:val="590D39E1"/>
    <w:rsid w:val="59FE676E"/>
    <w:rsid w:val="5AFB1AE5"/>
    <w:rsid w:val="5B0F3A2A"/>
    <w:rsid w:val="5B6254CA"/>
    <w:rsid w:val="5C3754AC"/>
    <w:rsid w:val="5D5A7A84"/>
    <w:rsid w:val="5EF93DC9"/>
    <w:rsid w:val="5F452E82"/>
    <w:rsid w:val="60824E88"/>
    <w:rsid w:val="6159512A"/>
    <w:rsid w:val="628B2A89"/>
    <w:rsid w:val="67AC72B4"/>
    <w:rsid w:val="6A172897"/>
    <w:rsid w:val="6B405AFC"/>
    <w:rsid w:val="6BE65433"/>
    <w:rsid w:val="6CEB379E"/>
    <w:rsid w:val="6EE43C9C"/>
    <w:rsid w:val="6F067027"/>
    <w:rsid w:val="6FC70AC6"/>
    <w:rsid w:val="7502213A"/>
    <w:rsid w:val="75186D47"/>
    <w:rsid w:val="75D7671A"/>
    <w:rsid w:val="7678558B"/>
    <w:rsid w:val="77905069"/>
    <w:rsid w:val="77BD6E0F"/>
    <w:rsid w:val="794E2862"/>
    <w:rsid w:val="798C76A0"/>
    <w:rsid w:val="79E844B1"/>
    <w:rsid w:val="7BB052F5"/>
    <w:rsid w:val="7D40500C"/>
    <w:rsid w:val="FDEF6CC2"/>
    <w:rsid w:val="FFBDF349"/>
    <w:rsid w:val="FFD5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Body Text Indent"/>
    <w:basedOn w:val="1"/>
    <w:qFormat/>
    <w:uiPriority w:val="0"/>
    <w:pPr>
      <w:autoSpaceDE w:val="0"/>
      <w:autoSpaceDN w:val="0"/>
      <w:adjustRightInd w:val="0"/>
      <w:spacing w:line="480" w:lineRule="exact"/>
      <w:ind w:firstLine="638" w:firstLineChars="228"/>
    </w:pPr>
    <w:rPr>
      <w:rFonts w:ascii="仿宋_GB2312" w:eastAsia="仿宋_GB2312"/>
      <w:sz w:val="28"/>
      <w:szCs w:val="28"/>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1526</Words>
  <Characters>8699</Characters>
  <Lines>72</Lines>
  <Paragraphs>20</Paragraphs>
  <TotalTime>3</TotalTime>
  <ScaleCrop>false</ScaleCrop>
  <LinksUpToDate>false</LinksUpToDate>
  <CharactersWithSpaces>10205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2024-06-24T20:31:00Z</dcterms:created>
  <dc:creator>鱼朵朵</dc:creator>
  <cp:lastModifiedBy>user</cp:lastModifiedBy>
  <dcterms:modified xsi:type="dcterms:W3CDTF">2025-12-19T11:33:37Z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846976475F6F433EBCC1A01B6533D48F</vt:lpwstr>
  </property>
</Properties>
</file>