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国有独资有限责任公司情形2：设</w:t>
      </w:r>
      <w:r>
        <w:rPr>
          <w:rFonts w:hint="eastAsia" w:ascii="宋体" w:hAnsi="宋体" w:eastAsia="宋体" w:cs="Times New Roman"/>
          <w:b/>
          <w:color w:val="000000" w:themeColor="text1"/>
          <w:sz w:val="24"/>
          <w14:textFill>
            <w14:solidFill>
              <w14:schemeClr w14:val="tx1"/>
            </w14:solidFill>
          </w14:textFill>
        </w:rPr>
        <w:t>董事会、经理、监事会</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jc w:val="center"/>
        <w:rPr>
          <w:rFonts w:ascii="方正小标宋简体" w:hAnsi="方正小标宋简体" w:eastAsia="方正小标宋简体" w:cs="方正小标宋简体"/>
          <w:bCs/>
          <w:color w:val="FF0000"/>
          <w:kern w:val="0"/>
          <w:sz w:val="36"/>
          <w:szCs w:val="36"/>
        </w:rPr>
      </w:pPr>
    </w:p>
    <w:p>
      <w:pPr>
        <w:jc w:val="center"/>
        <w:rPr>
          <w:rFonts w:ascii="黑体" w:hAnsi="黑体" w:eastAsia="黑体" w:cs="黑体"/>
          <w:bCs/>
          <w:kern w:val="0"/>
          <w:sz w:val="36"/>
          <w:szCs w:val="36"/>
        </w:rPr>
      </w:pPr>
      <w:r>
        <w:rPr>
          <w:rFonts w:hint="eastAsia" w:ascii="黑体" w:hAnsi="黑体" w:eastAsia="黑体" w:cs="黑体"/>
          <w:bCs/>
          <w:color w:val="000000" w:themeColor="text1"/>
          <w:spacing w:val="-2"/>
          <w:kern w:val="0"/>
          <w:sz w:val="36"/>
          <w:szCs w:val="36"/>
          <w:u w:val="single"/>
          <w14:textFill>
            <w14:solidFill>
              <w14:schemeClr w14:val="tx1"/>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spacing w:line="460" w:lineRule="exact"/>
        <w:jc w:val="center"/>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54"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w:t>
      </w:r>
      <w:r>
        <w:rPr>
          <w:rFonts w:hint="eastAsia" w:ascii="仿宋_GB2312" w:hAnsi="仿宋_GB2312" w:eastAsia="仿宋_GB2312" w:cs="仿宋_GB2312"/>
          <w:b/>
          <w:bCs/>
          <w:spacing w:val="-2"/>
          <w:kern w:val="0"/>
          <w:sz w:val="28"/>
          <w:szCs w:val="28"/>
          <w:lang w:eastAsia="zh-CN"/>
        </w:rPr>
        <w:t>二</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 w:val="0"/>
          <w:bCs/>
          <w:color w:val="FF0000"/>
          <w:kern w:val="0"/>
          <w:sz w:val="28"/>
          <w:szCs w:val="28"/>
          <w:lang w:eastAsia="zh-CN"/>
        </w:rPr>
      </w:pP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、董事、监事、高级管理人员具有约束力。</w:t>
      </w:r>
    </w:p>
    <w:p>
      <w:pPr>
        <w:spacing w:line="460" w:lineRule="exact"/>
        <w:ind w:firstLine="562" w:firstLineChars="200"/>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spacing w:line="460" w:lineRule="exact"/>
        <w:ind w:firstLine="560" w:firstLineChars="200"/>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spacing w:line="460" w:lineRule="exact"/>
        <w:rPr>
          <w:rFonts w:ascii="Microsoft JhengHei" w:hAnsi="Microsoft JhengHei" w:eastAsia="Microsoft JhengHei" w:cs="Times New Roman"/>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万元。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jc w:val="center"/>
        <w:rPr>
          <w:rFonts w:ascii="Microsoft JhengHei" w:hAnsi="Microsoft JhengHei" w:eastAsia="Microsoft JhengHei" w:cs="Times New Roman"/>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名称、出资额、出资日期、</w:t>
      </w: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出资方式</w:t>
      </w:r>
    </w:p>
    <w:p>
      <w:pPr>
        <w:widowControl/>
        <w:spacing w:line="460" w:lineRule="exact"/>
        <w:ind w:firstLine="554"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6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bCs/>
          <w:spacing w:val="-2"/>
          <w:kern w:val="0"/>
          <w:sz w:val="28"/>
          <w:szCs w:val="28"/>
        </w:rPr>
        <w:t>第十三条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约定的各自的出资额、出资时间和出资方式。（一）</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的出资总额等于原非公司企业法人的净资产，出资方式为净资产出资，出资时间为改制日期。（二）净资产为负值时，</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应当补足负值，并按公司注册资本总额认缴出资。（三）改制后的注册资本总额大于净资产的，应当以认缴增资方式出资。）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应当返还抽逃的出资；给公司造成损失的，负有责任的董事、监事、高级管理人员应当与该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spacing w:line="460" w:lineRule="exact"/>
        <w:ind w:firstLine="562" w:firstLineChars="200"/>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spacing w:line="460" w:lineRule="exact"/>
        <w:jc w:val="center"/>
        <w:rPr>
          <w:rFonts w:ascii="黑体" w:eastAsia="黑体"/>
          <w:sz w:val="28"/>
          <w:szCs w:val="28"/>
        </w:rPr>
      </w:pPr>
    </w:p>
    <w:p>
      <w:pPr>
        <w:spacing w:line="460" w:lineRule="exact"/>
        <w:jc w:val="center"/>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（三）审议批准监事会的工作报告；</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spacing w:line="460" w:lineRule="exact"/>
        <w:ind w:left="319" w:leftChars="152" w:firstLine="280" w:firstLineChars="1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tabs>
          <w:tab w:val="center" w:pos="4153"/>
        </w:tabs>
        <w:spacing w:line="460" w:lineRule="exact"/>
        <w:ind w:left="600"/>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w:t>
      </w:r>
    </w:p>
    <w:p>
      <w:pPr>
        <w:tabs>
          <w:tab w:val="center" w:pos="4153"/>
        </w:tabs>
        <w:spacing w:line="460" w:lineRule="exact"/>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分立、解散、申请破产的决定前，应当报本级人民政府批准。</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黑体" w:hAnsi="黑体" w:eastAsia="黑体" w:cs="Times New Roman"/>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tabs>
          <w:tab w:val="center" w:pos="4153"/>
        </w:tabs>
        <w:spacing w:line="460" w:lineRule="exact"/>
        <w:ind w:firstLine="600"/>
        <w:jc w:val="left"/>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tabs>
          <w:tab w:val="center" w:pos="4153"/>
        </w:tabs>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spacing w:line="460" w:lineRule="exact"/>
        <w:ind w:firstLine="560"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spacing w:line="480" w:lineRule="exact"/>
        <w:ind w:firstLine="55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（二）决定公司经营计划和投资方案；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1"/>
        </w:num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（注：可修改为15日以外的日期，并修改本项。）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公司设经理，由董事会聘任产生。经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62" w:firstLineChars="200"/>
        <w:rPr>
          <w:rFonts w:ascii="仿宋_GB2312" w:hAnsi="仿宋_GB2312" w:eastAsia="仿宋_GB2312" w:cs="仿宋_GB2312"/>
          <w:color w:val="000000" w:themeColor="text1"/>
          <w:spacing w:val="-2"/>
          <w:kern w:val="0"/>
          <w:sz w:val="28"/>
          <w:szCs w:val="28"/>
          <w:u w:val="single"/>
          <w14:textFill>
            <w14:solidFill>
              <w14:schemeClr w14:val="tx1"/>
            </w14:solidFill>
          </w14:textFill>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人，含职工代表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u w:val="single"/>
          <w14:textFill>
            <w14:solidFill>
              <w14:schemeClr w14:val="tx1"/>
            </w14:solidFill>
          </w14:textFill>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bCs/>
          <w:kern w:val="0"/>
          <w:sz w:val="28"/>
          <w:szCs w:val="28"/>
        </w:rPr>
        <w:t xml:space="preserve"> 监事会成员由</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委派产生；其中职工代表监事通过</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iCs/>
          <w:sz w:val="28"/>
          <w:szCs w:val="28"/>
          <w:u w:val="single"/>
        </w:rPr>
        <w:t>职工代表大会</w:t>
      </w:r>
      <w:r>
        <w:rPr>
          <w:rFonts w:hint="eastAsia" w:ascii="仿宋_GB2312" w:hAnsi="仿宋_GB2312" w:eastAsia="仿宋_GB2312" w:cs="仿宋_GB2312"/>
          <w:bCs/>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职工代表可以由职工大会或者其他形式民主选举产生，并修改本条。）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（一）检查公司财务；</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（二）对董事、高级管理人员执行公司职务的行为进行监督，对违反法律、行政法规、公司章程或者</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决定的董事、高级管理人员提出解任的建议；</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提出提案；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（注：可约定为15日以外的期限，并修改本条。）</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（注：可以约定经董事会决议，并修改本款。）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董事会对本章程第四十三条至第四十五条规定的事项决议时，关联董事不得参与表决，其表决权不计入表决权总数。出席董事会会议的无关联关系董事人数不足三人的，应当将该事项提交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及负有责任的董事、监事、高级管理人员应当承担赔偿责任。</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第六十二条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、董事、监事、高级管理人员应当将联系方式（包括通信地址、电话、电子邮箱等）报公司置备，发生变动的，应及时报公司予以更新。</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第六十三条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、董事会、监事会召开会议和表决可以采用电子通信方式。</w:t>
      </w:r>
    </w:p>
    <w:p>
      <w:pPr>
        <w:keepNext w:val="0"/>
        <w:keepLines w:val="0"/>
        <w:pageBreakBefore w:val="0"/>
        <w:wordWrap/>
        <w:bidi w:val="0"/>
        <w:adjustRightInd/>
        <w:snapToGrid/>
        <w:spacing w:line="460" w:lineRule="exact"/>
        <w:ind w:firstLine="630"/>
        <w:textAlignment w:val="auto"/>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第六十四条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bookmarkStart w:id="0" w:name="_GoBack"/>
      <w:bookmarkEnd w:id="0"/>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rPr>
          <w:rFonts w:ascii="宋体" w:hAnsi="宋体" w:eastAsia="宋体" w:cs="Times New Roman"/>
          <w:color w:val="ED0000"/>
          <w:spacing w:val="-2"/>
          <w:kern w:val="0"/>
          <w:sz w:val="28"/>
          <w:szCs w:val="28"/>
        </w:rPr>
      </w:pP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签署</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spacing w:line="460" w:lineRule="exact"/>
        <w:rPr>
          <w:rFonts w:ascii="仿宋_GB2312" w:hAnsi="仿宋_GB2312" w:eastAsia="仿宋_GB2312" w:cs="仿宋_GB2312"/>
          <w:spacing w:val="-2"/>
          <w:kern w:val="0"/>
          <w:sz w:val="28"/>
          <w:szCs w:val="28"/>
        </w:rPr>
      </w:pP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法定代表人签字</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spacing w:val="-2"/>
          <w:kern w:val="0"/>
          <w:sz w:val="28"/>
          <w:szCs w:val="28"/>
        </w:rPr>
        <w:t>：</w:t>
      </w:r>
    </w:p>
    <w:p>
      <w:pPr>
        <w:spacing w:line="460" w:lineRule="exact"/>
        <w:jc w:val="right"/>
        <w:rPr>
          <w:rFonts w:ascii="仿宋_GB2312" w:hAnsi="仿宋_GB2312" w:eastAsia="仿宋_GB2312" w:cs="仿宋_GB2312"/>
          <w:color w:val="FF0000"/>
          <w:kern w:val="0"/>
          <w:sz w:val="28"/>
          <w:szCs w:val="28"/>
        </w:rPr>
      </w:pPr>
    </w:p>
    <w:p>
      <w:pPr>
        <w:spacing w:line="460" w:lineRule="exact"/>
        <w:jc w:val="right"/>
        <w:rPr>
          <w:rFonts w:ascii="仿宋_GB2312" w:hAnsi="仿宋_GB2312" w:eastAsia="仿宋_GB2312" w:cs="仿宋_GB2312"/>
          <w:color w:val="FF0000"/>
          <w:kern w:val="0"/>
          <w:sz w:val="28"/>
          <w:szCs w:val="28"/>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jc w:val="right"/>
        <w:rPr>
          <w:rFonts w:ascii="仿宋_GB2312" w:hAnsi="仿宋_GB2312" w:eastAsia="仿宋_GB2312" w:cs="仿宋_GB2312"/>
          <w:color w:val="000000" w:themeColor="text1"/>
          <w:spacing w:val="-2"/>
          <w:kern w:val="0"/>
          <w:sz w:val="28"/>
          <w:szCs w:val="28"/>
          <w14:textFill>
            <w14:solidFill>
              <w14:schemeClr w14:val="tx1"/>
            </w14:solidFill>
          </w14:textFill>
        </w:rPr>
      </w:pP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left="1265" w:right="561" w:hanging="1264" w:hangingChars="600"/>
        <w:rPr>
          <w:rFonts w:ascii="仿宋_GB2312" w:hAnsi="Calibri"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w:t>
      </w:r>
      <w:r>
        <w:rPr>
          <w:rFonts w:hint="eastAsia" w:ascii="仿宋_GB2312" w:hAnsi="Calibri" w:eastAsia="仿宋_GB2312" w:cs="仿宋_GB2312"/>
          <w:szCs w:val="21"/>
          <w:lang w:eastAsia="zh-CN"/>
        </w:rPr>
        <w:t>出资人</w:t>
      </w:r>
      <w:r>
        <w:rPr>
          <w:rFonts w:hint="eastAsia" w:ascii="仿宋_GB2312" w:hAnsi="Calibri" w:eastAsia="仿宋_GB2312" w:cs="仿宋_GB2312"/>
          <w:szCs w:val="21"/>
        </w:rPr>
        <w:t>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rPr>
          <w:rFonts w:ascii="仿宋_GB2312" w:eastAsia="仿宋_GB2312" w:cs="仿宋_GB2312"/>
          <w:color w:val="FF0000"/>
          <w:kern w:val="0"/>
          <w:sz w:val="32"/>
          <w:szCs w:val="32"/>
        </w:rPr>
      </w:pPr>
    </w:p>
    <w:p>
      <w:pPr>
        <w:rPr>
          <w:rFonts w:ascii="仿宋_GB2312" w:hAnsi="仿宋_GB2312" w:eastAsia="仿宋_GB2312" w:cs="仿宋_GB2312"/>
          <w:color w:val="FF0000"/>
          <w:kern w:val="0"/>
          <w:sz w:val="32"/>
          <w:szCs w:val="32"/>
        </w:rPr>
      </w:pPr>
    </w:p>
    <w:p>
      <w:pPr>
        <w:ind w:firstLine="4480" w:firstLineChars="14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FF0000"/>
          <w:kern w:val="0"/>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56D56C11"/>
    <w:rsid w:val="000016FA"/>
    <w:rsid w:val="00112A42"/>
    <w:rsid w:val="00285DAE"/>
    <w:rsid w:val="0028679B"/>
    <w:rsid w:val="002C7425"/>
    <w:rsid w:val="002F5A17"/>
    <w:rsid w:val="003818C7"/>
    <w:rsid w:val="00433E2F"/>
    <w:rsid w:val="004B6A34"/>
    <w:rsid w:val="004D2229"/>
    <w:rsid w:val="005246C1"/>
    <w:rsid w:val="005919A2"/>
    <w:rsid w:val="005B6EB8"/>
    <w:rsid w:val="006705E8"/>
    <w:rsid w:val="0067635A"/>
    <w:rsid w:val="006A7CEC"/>
    <w:rsid w:val="006E0E1B"/>
    <w:rsid w:val="00776317"/>
    <w:rsid w:val="007A7E16"/>
    <w:rsid w:val="007B7796"/>
    <w:rsid w:val="00872E9C"/>
    <w:rsid w:val="008A5F8A"/>
    <w:rsid w:val="008E5A94"/>
    <w:rsid w:val="00962FAC"/>
    <w:rsid w:val="00967631"/>
    <w:rsid w:val="009A3618"/>
    <w:rsid w:val="009E42F4"/>
    <w:rsid w:val="00A85313"/>
    <w:rsid w:val="00AF0E09"/>
    <w:rsid w:val="00B2790B"/>
    <w:rsid w:val="00B4347F"/>
    <w:rsid w:val="00BC300F"/>
    <w:rsid w:val="00C0443E"/>
    <w:rsid w:val="00C24A2D"/>
    <w:rsid w:val="00C731D8"/>
    <w:rsid w:val="00E55196"/>
    <w:rsid w:val="00E7652F"/>
    <w:rsid w:val="00E94936"/>
    <w:rsid w:val="00F3604B"/>
    <w:rsid w:val="00F66DE0"/>
    <w:rsid w:val="00F6713B"/>
    <w:rsid w:val="00F809CD"/>
    <w:rsid w:val="00F91194"/>
    <w:rsid w:val="00F93018"/>
    <w:rsid w:val="00FA41F1"/>
    <w:rsid w:val="00FF6CB8"/>
    <w:rsid w:val="01C17A53"/>
    <w:rsid w:val="03C2134C"/>
    <w:rsid w:val="05D46D0A"/>
    <w:rsid w:val="068712F2"/>
    <w:rsid w:val="0A76392C"/>
    <w:rsid w:val="0BDC4598"/>
    <w:rsid w:val="0E6C45CE"/>
    <w:rsid w:val="0EBA6009"/>
    <w:rsid w:val="13F015BE"/>
    <w:rsid w:val="17DD5103"/>
    <w:rsid w:val="1C1C6796"/>
    <w:rsid w:val="1C2D31E6"/>
    <w:rsid w:val="1CEC25BF"/>
    <w:rsid w:val="1DEC57A6"/>
    <w:rsid w:val="1EAE09F3"/>
    <w:rsid w:val="204A474C"/>
    <w:rsid w:val="209F6845"/>
    <w:rsid w:val="212666F0"/>
    <w:rsid w:val="21635D35"/>
    <w:rsid w:val="24A618C1"/>
    <w:rsid w:val="2C3B6ADF"/>
    <w:rsid w:val="2D400D21"/>
    <w:rsid w:val="2DCA2A1D"/>
    <w:rsid w:val="2E210DA6"/>
    <w:rsid w:val="303B1683"/>
    <w:rsid w:val="30412871"/>
    <w:rsid w:val="31097D0B"/>
    <w:rsid w:val="322D76F1"/>
    <w:rsid w:val="336719CA"/>
    <w:rsid w:val="34BE3167"/>
    <w:rsid w:val="352C2705"/>
    <w:rsid w:val="35C401CF"/>
    <w:rsid w:val="3830101E"/>
    <w:rsid w:val="38BC014E"/>
    <w:rsid w:val="3C6E2B2A"/>
    <w:rsid w:val="3DDF509B"/>
    <w:rsid w:val="40CC7620"/>
    <w:rsid w:val="420E25EB"/>
    <w:rsid w:val="45B03376"/>
    <w:rsid w:val="467A4E17"/>
    <w:rsid w:val="488F1A2E"/>
    <w:rsid w:val="4A653DAC"/>
    <w:rsid w:val="4AA06446"/>
    <w:rsid w:val="4AFE455F"/>
    <w:rsid w:val="4B212C21"/>
    <w:rsid w:val="4C3E1BEE"/>
    <w:rsid w:val="4CDC0FDA"/>
    <w:rsid w:val="4FEE03A0"/>
    <w:rsid w:val="50586A1B"/>
    <w:rsid w:val="514172DE"/>
    <w:rsid w:val="52E54CC5"/>
    <w:rsid w:val="53BA6F17"/>
    <w:rsid w:val="56D56C11"/>
    <w:rsid w:val="590D39E1"/>
    <w:rsid w:val="59AB60A8"/>
    <w:rsid w:val="59FE676E"/>
    <w:rsid w:val="5AFB1AE5"/>
    <w:rsid w:val="5B0F3A2A"/>
    <w:rsid w:val="5C3754AC"/>
    <w:rsid w:val="5D5A7A84"/>
    <w:rsid w:val="5E0B0A81"/>
    <w:rsid w:val="5EF93DC9"/>
    <w:rsid w:val="5F452E82"/>
    <w:rsid w:val="60824E88"/>
    <w:rsid w:val="6159512A"/>
    <w:rsid w:val="628B2A89"/>
    <w:rsid w:val="67AC72B4"/>
    <w:rsid w:val="698049FF"/>
    <w:rsid w:val="6A172897"/>
    <w:rsid w:val="6B405AFC"/>
    <w:rsid w:val="6BE65433"/>
    <w:rsid w:val="6CE42641"/>
    <w:rsid w:val="6CEB379E"/>
    <w:rsid w:val="6EE43C9C"/>
    <w:rsid w:val="6F5B109C"/>
    <w:rsid w:val="72A22A1E"/>
    <w:rsid w:val="7502213A"/>
    <w:rsid w:val="75186D47"/>
    <w:rsid w:val="75D7671A"/>
    <w:rsid w:val="765B287F"/>
    <w:rsid w:val="77905069"/>
    <w:rsid w:val="77BD6E0F"/>
    <w:rsid w:val="77ED7A87"/>
    <w:rsid w:val="794E2862"/>
    <w:rsid w:val="798C76A0"/>
    <w:rsid w:val="79E844B1"/>
    <w:rsid w:val="7ABB43DA"/>
    <w:rsid w:val="7D40500C"/>
    <w:rsid w:val="7FC65C44"/>
    <w:rsid w:val="DBCD6951"/>
    <w:rsid w:val="F4DDB543"/>
    <w:rsid w:val="F57C1EE0"/>
    <w:rsid w:val="FE7F9F72"/>
    <w:rsid w:val="FF5EB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1598</Words>
  <Characters>9109</Characters>
  <Lines>75</Lines>
  <Paragraphs>21</Paragraphs>
  <TotalTime>0</TotalTime>
  <ScaleCrop>false</ScaleCrop>
  <LinksUpToDate>false</LinksUpToDate>
  <CharactersWithSpaces>10686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2025-12-19T12:06:14Z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846976475F6F433EBCC1A01B6533D48F</vt:lpwstr>
  </property>
</Properties>
</file>