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股份有限公司情形1：发起设立，只有一个股东，设董事1人、监事1人、经理</w:t>
      </w:r>
    </w:p>
    <w:p>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cstheme="minorEastAsia"/>
          <w:b/>
          <w:color w:val="FF0000"/>
          <w:sz w:val="24"/>
        </w:rPr>
        <w:t>（注：为便于工作人员审查，本条无需删除。）</w:t>
      </w:r>
    </w:p>
    <w:p>
      <w:pPr>
        <w:jc w:val="center"/>
        <w:rPr>
          <w:rFonts w:ascii="黑体" w:hAnsi="黑体" w:eastAsia="黑体"/>
          <w:color w:val="000000" w:themeColor="text1"/>
          <w:spacing w:val="-2"/>
          <w:kern w:val="0"/>
          <w:sz w:val="36"/>
          <w:szCs w:val="36"/>
          <w:u w:val="single"/>
          <w14:textFill>
            <w14:solidFill>
              <w14:schemeClr w14:val="tx1"/>
            </w14:solidFill>
          </w14:textFill>
        </w:rPr>
      </w:pPr>
    </w:p>
    <w:p>
      <w:pPr>
        <w:jc w:val="center"/>
        <w:rPr>
          <w:rFonts w:ascii="黑体" w:hAnsi="黑体" w:eastAsia="黑体"/>
          <w:b/>
          <w:kern w:val="0"/>
          <w:sz w:val="32"/>
          <w:szCs w:val="32"/>
        </w:rPr>
      </w:pPr>
      <w:r>
        <w:rPr>
          <w:rFonts w:hint="eastAsia" w:ascii="黑体" w:hAnsi="黑体" w:eastAsia="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b/>
          <w:color w:val="000000" w:themeColor="text1"/>
          <w:kern w:val="0"/>
          <w:sz w:val="32"/>
          <w:szCs w:val="32"/>
          <w14:textFill>
            <w14:solidFill>
              <w14:schemeClr w14:val="tx1"/>
            </w14:solidFill>
          </w14:textFill>
        </w:rPr>
        <w:t>股份</w:t>
      </w:r>
      <w:r>
        <w:rPr>
          <w:rFonts w:ascii="黑体" w:hAnsi="黑体" w:eastAsia="黑体"/>
          <w:b/>
          <w:color w:val="000000" w:themeColor="text1"/>
          <w:kern w:val="0"/>
          <w:sz w:val="32"/>
          <w:szCs w:val="32"/>
          <w14:textFill>
            <w14:solidFill>
              <w14:schemeClr w14:val="tx1"/>
            </w14:solidFill>
          </w14:textFill>
        </w:rPr>
        <w:t>有限公司</w:t>
      </w:r>
      <w:r>
        <w:rPr>
          <w:rFonts w:ascii="黑体" w:hAnsi="黑体" w:eastAsia="黑体"/>
          <w:b/>
          <w:kern w:val="0"/>
          <w:sz w:val="32"/>
          <w:szCs w:val="32"/>
        </w:rPr>
        <w:t>章程</w:t>
      </w:r>
    </w:p>
    <w:p>
      <w:pPr>
        <w:rPr>
          <w:rFonts w:asciiTheme="minorEastAsia" w:hAnsiTheme="minorEastAsia"/>
          <w:b/>
          <w:kern w:val="0"/>
          <w:sz w:val="36"/>
        </w:rPr>
      </w:pPr>
    </w:p>
    <w:p>
      <w:pPr>
        <w:spacing w:line="46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公司类型：股份有限公司。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60" w:lineRule="exact"/>
        <w:jc w:val="center"/>
        <w:rPr>
          <w:rFonts w:ascii="宋体" w:hAnsi="宋体" w:cs="宋体"/>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股份有限公司</w:t>
      </w:r>
      <w:r>
        <w:rPr>
          <w:rFonts w:hint="eastAsia" w:ascii="仿宋_GB2312" w:hAnsi="仿宋_GB2312" w:eastAsia="仿宋_GB2312" w:cs="仿宋_GB2312"/>
          <w:spacing w:val="-2"/>
          <w:kern w:val="0"/>
          <w:sz w:val="28"/>
          <w:szCs w:val="28"/>
        </w:rPr>
        <w:t>。</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60" w:lineRule="exact"/>
        <w:ind w:firstLine="554" w:firstLineChars="2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autoSpaceDE w:val="0"/>
        <w:autoSpaceDN w:val="0"/>
        <w:spacing w:line="46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60" w:lineRule="exact"/>
        <w:ind w:firstLine="552" w:firstLineChars="200"/>
        <w:rPr>
          <w:rFonts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6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60" w:lineRule="exact"/>
        <w:ind w:left="840" w:leftChars="266" w:hanging="281" w:hangingChars="100"/>
        <w:rPr>
          <w:rFonts w:ascii="仿宋_GB2312" w:hAnsi="仿宋_GB2312" w:eastAsia="仿宋_GB2312" w:cs="仿宋_GB2312"/>
          <w:spacing w:val="-2"/>
          <w:kern w:val="0"/>
          <w:sz w:val="28"/>
          <w:szCs w:val="28"/>
          <w:u w:val="single"/>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spacing w:val="-2"/>
          <w:kern w:val="0"/>
          <w:sz w:val="28"/>
          <w:szCs w:val="28"/>
        </w:rPr>
        <w:t>八条</w:t>
      </w:r>
      <w:r>
        <w:rPr>
          <w:rFonts w:hint="eastAsia" w:ascii="仿宋_GB2312" w:hAnsi="仿宋_GB2312" w:eastAsia="仿宋_GB2312" w:cs="仿宋_GB2312"/>
          <w:spacing w:val="-2"/>
          <w:kern w:val="0"/>
          <w:sz w:val="28"/>
          <w:szCs w:val="28"/>
        </w:rPr>
        <w:t xml:space="preserve"> 公司注册资本为人民币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万元。公司股份总数为</w:t>
      </w:r>
      <w:r>
        <w:rPr>
          <w:rFonts w:hint="eastAsia" w:ascii="仿宋_GB2312" w:hAnsi="仿宋_GB2312" w:eastAsia="仿宋_GB2312" w:cs="仿宋_GB2312"/>
          <w:spacing w:val="-2"/>
          <w:kern w:val="0"/>
          <w:sz w:val="28"/>
          <w:szCs w:val="28"/>
          <w:u w:val="single"/>
        </w:rPr>
        <w:t xml:space="preserve">                         </w:t>
      </w:r>
    </w:p>
    <w:p>
      <w:pPr>
        <w:spacing w:line="46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3.股份有限公司的注册资本为在公司登记机关登记的已发行股份的股本总额。）</w:t>
      </w:r>
    </w:p>
    <w:p>
      <w:pPr>
        <w:spacing w:line="460" w:lineRule="exact"/>
        <w:ind w:firstLine="562" w:firstLineChars="200"/>
        <w:rPr>
          <w:rFonts w:ascii="仿宋_GB2312" w:hAnsi="仿宋_GB2312" w:eastAsia="仿宋_GB2312" w:cs="仿宋_GB2312"/>
          <w:color w:val="FF000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60" w:lineRule="exact"/>
        <w:rPr>
          <w:rFonts w:ascii="宋体" w:hAnsi="宋体" w:cs="宋体"/>
          <w:sz w:val="28"/>
          <w:szCs w:val="28"/>
          <w:highlight w:val="yellow"/>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 xml:space="preserve">第三章  </w:t>
      </w:r>
      <w:r>
        <w:rPr>
          <w:rFonts w:ascii="黑体" w:hAnsi="黑体" w:eastAsia="黑体"/>
          <w:b/>
          <w:kern w:val="0"/>
          <w:sz w:val="28"/>
          <w:szCs w:val="28"/>
        </w:rPr>
        <w:t>公司的</w:t>
      </w:r>
      <w:r>
        <w:rPr>
          <w:rFonts w:hint="eastAsia" w:ascii="黑体" w:hAnsi="黑体" w:eastAsia="黑体"/>
          <w:b/>
          <w:kern w:val="0"/>
          <w:sz w:val="28"/>
          <w:szCs w:val="28"/>
        </w:rPr>
        <w:t>设立方式、发起人</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1</w:t>
      </w:r>
      <w:r>
        <w:rPr>
          <w:rFonts w:hint="eastAsia" w:ascii="仿宋_GB2312" w:hAnsi="仿宋_GB2312" w:eastAsia="仿宋_GB2312" w:cs="仿宋_GB2312"/>
          <w:spacing w:val="-2"/>
          <w:kern w:val="0"/>
          <w:sz w:val="28"/>
          <w:szCs w:val="28"/>
        </w:rPr>
        <w:t>个：</w:t>
      </w:r>
    </w:p>
    <w:p>
      <w:pPr>
        <w:spacing w:line="460" w:lineRule="exact"/>
        <w:ind w:firstLine="552" w:firstLineChars="200"/>
        <w:rPr>
          <w:rFonts w:ascii="仿宋_GB2312" w:hAnsi="仿宋_GB2312" w:eastAsia="仿宋_GB2312" w:cs="仿宋_GB2312"/>
          <w:b/>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6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（四）按有关规定质押所持有的股份；</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决定、监事决定和财务会计报告，对公司的经营提出建议或者质询。有权要求查阅公司会计账簿、会计凭证，公司拒绝提供查阅的，股东可以向人民法院提起诉讼；</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（七）有被委派为董事或者监事的权利；</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决定召集程序、表决方式违反法律、行政法规或者公司章程，或者决议内容违反公司章程的，股东可以请求人民法院撤销。董事的会议召集程序或者表决方式仅有轻微瑕疵，对决议未产生实质影响的除外。</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（一）以其认购的股份为限对公司承担责任；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（二）应当按期足额缴纳本章程载明的所认购的股份；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（六）不得滥用股东权利损害公司的利益；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60" w:lineRule="exact"/>
        <w:ind w:firstLine="560" w:firstLineChars="200"/>
        <w:rPr>
          <w:rFonts w:ascii="仿宋_GB2312" w:hAnsi="仿宋_GB2312" w:eastAsia="仿宋_GB2312" w:cs="仿宋_GB2312"/>
          <w:color w:val="FF0000"/>
          <w:sz w:val="28"/>
          <w:szCs w:val="28"/>
        </w:rPr>
      </w:pP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6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2.发起人应当在公司成立前按照其认购的股份全额缴纳股款，出资时间应为办理登记业务前。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董事依照前款规定决定发行股份导致公司注册资本、已发行股份数发生变化的，对公司章程该项记载事项的修改不需再由股东表决。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4.因公司合并、分立而存续或者新设的公司，其发起人认购的股份，由合并协议、分立决议或者决定约定。）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股份有限公司成立后，董事应当对发起人的出资情况进行核查，发现发起人未按期足额缴纳公司章程规定的出资的，应当由公司向该发起人发出书面催缴书，催缴出资。</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按期足额缴纳出资的，公司发出书面催缴书催缴出资的，可以载明缴纳出资的宽限期；宽限期自公司发出催缴书之日起，不得少于六十日。宽限期届满，发起人仍未履行出资义务的，公司经董事决定可以向发起人发出失权通知，通知应当以书面形式发出。自通知发出之日起，发起人丧失其未缴纳出资的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60" w:lineRule="exact"/>
        <w:jc w:val="center"/>
        <w:rPr>
          <w:rFonts w:ascii="黑体" w:hAnsi="黑体" w:eastAsia="黑体"/>
          <w:b/>
          <w:kern w:val="0"/>
          <w:sz w:val="28"/>
          <w:szCs w:val="28"/>
        </w:rPr>
      </w:pPr>
      <w:r>
        <w:rPr>
          <w:rFonts w:hint="eastAsia" w:ascii="黑体" w:hAnsi="黑体" w:eastAsia="黑体"/>
          <w:b/>
          <w:kern w:val="0"/>
          <w:sz w:val="28"/>
          <w:szCs w:val="28"/>
        </w:rPr>
        <w:t>第五章　股份转让</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第二十二条</w:t>
      </w:r>
      <w:r>
        <w:rPr>
          <w:rFonts w:hint="eastAsia" w:ascii="仿宋_GB2312" w:hAnsi="黑体" w:eastAsia="仿宋_GB2312"/>
          <w:kern w:val="0"/>
          <w:sz w:val="28"/>
          <w:szCs w:val="28"/>
        </w:rPr>
        <w:t>　股东持有的股份可以向股东以外的人转让。</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（注：可以根据需要依法约定股份转让的限制条件，并修改本条。）</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第二十三条</w:t>
      </w:r>
      <w:r>
        <w:rPr>
          <w:rFonts w:hint="eastAsia" w:ascii="仿宋_GB2312" w:hAnsi="黑体" w:eastAsia="仿宋_GB2312"/>
          <w:kern w:val="0"/>
          <w:sz w:val="28"/>
          <w:szCs w:val="28"/>
        </w:rPr>
        <w:t>　股东转让其股份，应当在依法设立的证券交易场所进行或者按照国务院规定的其他方式进行。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第二十四条</w:t>
      </w:r>
      <w:r>
        <w:rPr>
          <w:rFonts w:hint="eastAsia" w:ascii="仿宋_GB2312" w:hAnsi="黑体" w:eastAsia="仿宋_GB2312"/>
          <w:kern w:val="0"/>
          <w:sz w:val="28"/>
          <w:szCs w:val="28"/>
        </w:rPr>
        <w:t>　股票的转让，由股东以背书方式或者法律、行政法规规定的其他方式进行；转让后由公司将受让人的姓名或者名称及住所记载于股东名册。</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股东决定召开前二十日内或者公司决定分配股利的基准日前五日内，不得变更股东名册。</w:t>
      </w:r>
    </w:p>
    <w:p>
      <w:pPr>
        <w:spacing w:line="46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6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6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（注：对股份转让有限制性规定的可以另行约定股份继承的要求，并修改本条。）</w:t>
      </w:r>
    </w:p>
    <w:p>
      <w:pPr>
        <w:spacing w:line="460" w:lineRule="exact"/>
        <w:jc w:val="center"/>
        <w:rPr>
          <w:rFonts w:ascii="黑体" w:hAnsi="黑体" w:eastAsia="黑体"/>
          <w:b/>
          <w:kern w:val="0"/>
          <w:sz w:val="28"/>
          <w:szCs w:val="28"/>
        </w:rPr>
      </w:pPr>
    </w:p>
    <w:p>
      <w:pPr>
        <w:spacing w:line="46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6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60" w:lineRule="exact"/>
        <w:jc w:val="center"/>
        <w:rPr>
          <w:rFonts w:asciiTheme="minorEastAsia" w:hAnsiTheme="minorEastAsia"/>
          <w:b/>
          <w:kern w:val="0"/>
          <w:sz w:val="28"/>
          <w:szCs w:val="28"/>
        </w:rPr>
      </w:pPr>
    </w:p>
    <w:p>
      <w:pPr>
        <w:spacing w:line="460" w:lineRule="exact"/>
        <w:jc w:val="center"/>
        <w:rPr>
          <w:rFonts w:ascii="黑体" w:hAnsi="黑体" w:eastAsia="黑体"/>
          <w:b/>
          <w:kern w:val="0"/>
          <w:sz w:val="28"/>
          <w:szCs w:val="28"/>
        </w:rPr>
      </w:pPr>
      <w:r>
        <w:rPr>
          <w:rFonts w:ascii="黑体" w:hAnsi="黑体" w:eastAsia="黑体"/>
          <w:b/>
          <w:kern w:val="0"/>
          <w:sz w:val="28"/>
          <w:szCs w:val="28"/>
        </w:rPr>
        <w:t xml:space="preserve">第七章 </w:t>
      </w:r>
      <w:r>
        <w:rPr>
          <w:rFonts w:hint="eastAsia" w:ascii="黑体" w:hAnsi="黑体" w:eastAsia="黑体"/>
          <w:b/>
          <w:kern w:val="0"/>
          <w:sz w:val="28"/>
          <w:szCs w:val="28"/>
        </w:rPr>
        <w:t xml:space="preserve"> </w:t>
      </w:r>
      <w:r>
        <w:rPr>
          <w:rFonts w:ascii="黑体" w:hAnsi="黑体" w:eastAsia="黑体"/>
          <w:b/>
          <w:kern w:val="0"/>
          <w:sz w:val="28"/>
          <w:szCs w:val="28"/>
        </w:rPr>
        <w:t>公司的机构及其产生办法、职权、议事规则</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公司不设股东会，股东行使下列职权：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第三十三条 </w:t>
      </w:r>
      <w:r>
        <w:rPr>
          <w:rFonts w:hint="eastAsia" w:ascii="仿宋_GB2312" w:hAnsi="仿宋_GB2312" w:eastAsia="仿宋_GB2312" w:cs="仿宋_GB2312"/>
          <w:spacing w:val="-2"/>
          <w:kern w:val="0"/>
          <w:sz w:val="28"/>
          <w:szCs w:val="28"/>
        </w:rPr>
        <w:t>有下列情形之一的，股东在两个月内需形成书面决定，并由股东签名或者盖章后置备于公司。</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（一）公司未弥补的亏损达实收股本总额三分之一时；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（二）董事认为必要时；</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（三）监事提议时。</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（注：可以依法规定其他情形，并记载于本条。）</w:t>
      </w:r>
    </w:p>
    <w:p>
      <w:pPr>
        <w:spacing w:line="460" w:lineRule="exact"/>
        <w:ind w:firstLine="562" w:firstLineChars="200"/>
        <w:rPr>
          <w:rFonts w:ascii="Times New Roman" w:eastAsia="仿宋_GB2312"/>
          <w:iCs/>
          <w:color w:val="FF0000"/>
          <w:sz w:val="28"/>
          <w:szCs w:val="28"/>
        </w:rPr>
      </w:pPr>
      <w:r>
        <w:rPr>
          <w:rFonts w:hint="eastAsia" w:ascii="仿宋_GB2312" w:hAnsi="仿宋_GB2312" w:eastAsia="仿宋_GB2312" w:cs="仿宋_GB2312"/>
          <w:b/>
          <w:kern w:val="0"/>
          <w:sz w:val="28"/>
          <w:szCs w:val="28"/>
        </w:rPr>
        <w:t xml:space="preserve">第三十四条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公司不设董事会，设董事1人，由股东委派产生。</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spacing w:val="-2"/>
          <w:kern w:val="0"/>
          <w:sz w:val="28"/>
          <w:szCs w:val="28"/>
        </w:rPr>
        <w:t xml:space="preserve"> 董事每届任期三年。董事任期届满，可以连任。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董事任期届满未及时改选或者董事在任期内辞职，在改选出的董事就任前，原董事仍应当依照法律、行政法规和公司章程的规定，履行董事职务。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spacing w:val="-2"/>
          <w:kern w:val="0"/>
          <w:sz w:val="28"/>
          <w:szCs w:val="28"/>
        </w:rPr>
        <w:t xml:space="preserve"> 董事行使下列职权：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（一）向股东报告工作；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（二）执行股东的决定；</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（八）决定聘任或者解聘公司经理及其报酬事项，并根据经理的提名决定聘任或者解聘公司副经理、财务负责人及其报酬事项；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设经理，由董事聘任产生。经董事决定，董事可以兼任经理。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第三十八条 </w:t>
      </w:r>
      <w:r>
        <w:rPr>
          <w:rFonts w:hint="eastAsia" w:ascii="仿宋_GB2312" w:hAnsi="仿宋_GB2312" w:eastAsia="仿宋_GB2312" w:cs="仿宋_GB2312"/>
          <w:spacing w:val="-2"/>
          <w:kern w:val="0"/>
          <w:sz w:val="28"/>
          <w:szCs w:val="28"/>
        </w:rPr>
        <w:t>公司不设监事会，</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设监事1人。由股东委派产生。</w:t>
      </w:r>
      <w:r>
        <w:rPr>
          <w:rFonts w:hint="eastAsia" w:ascii="仿宋_GB2312" w:hAnsi="仿宋_GB2312" w:eastAsia="仿宋_GB2312" w:cs="仿宋_GB2312"/>
          <w:spacing w:val="-2"/>
          <w:kern w:val="0"/>
          <w:sz w:val="28"/>
          <w:szCs w:val="28"/>
        </w:rPr>
        <w:t>监事每届任期三年。监事任期届满，经任命方同意可以连任。</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董事、高级管理人员不得兼任监事。</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监事行使下列职权：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（注：可以约定监事的其他职权，并修改本条。）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60" w:lineRule="exact"/>
        <w:ind w:firstLine="831" w:firstLineChars="300"/>
        <w:rPr>
          <w:rFonts w:ascii="黑体" w:hAnsi="黑体" w:eastAsia="黑体" w:cs="黑体"/>
          <w:b/>
          <w:bCs/>
          <w:color w:val="000000" w:themeColor="text1"/>
          <w:spacing w:val="-2"/>
          <w:kern w:val="0"/>
          <w:sz w:val="28"/>
          <w:szCs w:val="28"/>
          <w14:textFill>
            <w14:solidFill>
              <w14:schemeClr w14:val="tx1"/>
            </w14:solidFill>
          </w14:textFill>
        </w:rPr>
      </w:pPr>
    </w:p>
    <w:p>
      <w:pPr>
        <w:spacing w:line="46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董事、监事、高级管理人员不得有下列行为：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第九章  公司财务、会计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kern w:val="0"/>
          <w:sz w:val="28"/>
          <w:szCs w:val="28"/>
          <w:lang w:eastAsia="zh-CN"/>
        </w:rPr>
        <w:t>五十</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股东作出分配利润的决定的，董事应当在股东决定作出之日起六个月内进行分配。</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就解聘会计师事务所进行决定时，应当允许会计师事务所陈述意见。</w:t>
      </w:r>
    </w:p>
    <w:p>
      <w:pPr>
        <w:spacing w:line="460" w:lineRule="exact"/>
        <w:ind w:firstLine="552" w:firstLineChars="200"/>
        <w:rPr>
          <w:rFonts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（注：公司聘用、解聘承办公司审计业务的会计师事务所，可约定由董事或监事决定，并修改本条。）</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60" w:lineRule="exact"/>
        <w:rPr>
          <w:rFonts w:ascii="仿宋_GB2312" w:hAnsi="仿宋_GB2312" w:eastAsia="仿宋_GB2312" w:cs="仿宋_GB2312"/>
          <w:spacing w:val="-2"/>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第十章  公司的解散、清算</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公司因下列原因解散：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6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八</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清算组在清算期间行使下列职权：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kern w:val="0"/>
          <w:sz w:val="28"/>
          <w:szCs w:val="28"/>
          <w:lang w:eastAsia="zh-CN"/>
        </w:rPr>
        <w:t>六十</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公司财产在分别支付清算费用、职工的工资、社会保险费用和法定补偿金，缴纳所欠税款，清偿公司债务后的剩余财产，分配给股东。</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一</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60" w:lineRule="exact"/>
        <w:jc w:val="center"/>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bCs/>
          <w:kern w:val="0"/>
          <w:sz w:val="28"/>
          <w:szCs w:val="28"/>
        </w:rPr>
        <w:t xml:space="preserve"> 公司通知可采用以下方式：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6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6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6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五</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公司股东、董事、监事召开会议和表决可以采用电子通信方式。</w:t>
      </w:r>
    </w:p>
    <w:p>
      <w:pPr>
        <w:spacing w:line="46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六</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bCs/>
          <w:kern w:val="0"/>
          <w:sz w:val="28"/>
          <w:szCs w:val="28"/>
        </w:rPr>
        <w:t xml:space="preserve"> 公司、股东、董事、监事的公告，应在报纸或者国家企业信用信息公示系统等途径发布。</w:t>
      </w:r>
    </w:p>
    <w:p>
      <w:pPr>
        <w:spacing w:line="46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60" w:lineRule="exact"/>
        <w:jc w:val="left"/>
        <w:rPr>
          <w:rFonts w:ascii="仿宋_GB2312" w:hAnsi="仿宋_GB2312" w:eastAsia="仿宋_GB2312" w:cs="仿宋_GB2312"/>
          <w:b/>
          <w:kern w:val="0"/>
          <w:sz w:val="28"/>
          <w:szCs w:val="28"/>
        </w:rPr>
      </w:pPr>
    </w:p>
    <w:p>
      <w:pPr>
        <w:spacing w:line="46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十二</w:t>
      </w:r>
      <w:r>
        <w:rPr>
          <w:rFonts w:hint="eastAsia" w:ascii="黑体" w:hAnsi="黑体" w:eastAsia="黑体" w:cs="黑体"/>
          <w:b/>
          <w:kern w:val="0"/>
          <w:sz w:val="28"/>
          <w:szCs w:val="28"/>
        </w:rPr>
        <w:t>章  公司的其他规定</w:t>
      </w:r>
    </w:p>
    <w:p>
      <w:pPr>
        <w:spacing w:line="46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七</w:t>
      </w:r>
      <w:r>
        <w:rPr>
          <w:rFonts w:hint="eastAsia" w:ascii="仿宋_GB2312" w:hAnsi="仿宋_GB2312" w:eastAsia="仿宋_GB2312" w:cs="仿宋_GB2312"/>
          <w:b/>
          <w:kern w:val="0"/>
          <w:sz w:val="28"/>
          <w:szCs w:val="28"/>
        </w:rPr>
        <w:t xml:space="preserve">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bookmarkStart w:id="0" w:name="_GoBack"/>
      <w:bookmarkEnd w:id="0"/>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60" w:lineRule="exact"/>
        <w:ind w:firstLine="554" w:firstLineChars="200"/>
        <w:rPr>
          <w:rFonts w:ascii="仿宋_GB2312" w:hAnsi="仿宋_GB2312" w:eastAsia="仿宋_GB2312" w:cs="仿宋_GB2312"/>
          <w:b/>
          <w:kern w:val="0"/>
          <w:sz w:val="28"/>
          <w:szCs w:val="28"/>
        </w:rPr>
      </w:pPr>
      <w:r>
        <w:rPr>
          <w:rFonts w:hint="eastAsia" w:ascii="仿宋_GB2312" w:hAnsi="仿宋_GB2312" w:eastAsia="仿宋_GB2312" w:cs="仿宋_GB2312"/>
          <w:b/>
          <w:spacing w:val="-2"/>
          <w:kern w:val="0"/>
          <w:sz w:val="28"/>
          <w:szCs w:val="28"/>
        </w:rPr>
        <w:t>第六十</w:t>
      </w:r>
      <w:r>
        <w:rPr>
          <w:rFonts w:hint="eastAsia" w:ascii="仿宋_GB2312" w:hAnsi="仿宋_GB2312" w:eastAsia="仿宋_GB2312" w:cs="仿宋_GB2312"/>
          <w:b/>
          <w:spacing w:val="-2"/>
          <w:kern w:val="0"/>
          <w:sz w:val="28"/>
          <w:szCs w:val="28"/>
          <w:lang w:eastAsia="zh-CN"/>
        </w:rPr>
        <w:t>八</w:t>
      </w:r>
      <w:r>
        <w:rPr>
          <w:rFonts w:hint="eastAsia" w:ascii="仿宋_GB2312" w:hAnsi="仿宋_GB2312" w:eastAsia="仿宋_GB2312" w:cs="仿宋_GB2312"/>
          <w:b/>
          <w:spacing w:val="-2"/>
          <w:kern w:val="0"/>
          <w:sz w:val="28"/>
          <w:szCs w:val="28"/>
        </w:rPr>
        <w:t>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6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w:t>
      </w:r>
      <w:r>
        <w:rPr>
          <w:rFonts w:hint="eastAsia" w:ascii="仿宋_GB2312" w:hAnsi="仿宋_GB2312" w:eastAsia="仿宋_GB2312" w:cs="仿宋_GB2312"/>
          <w:b/>
          <w:kern w:val="0"/>
          <w:sz w:val="28"/>
          <w:szCs w:val="28"/>
          <w:lang w:eastAsia="zh-CN"/>
        </w:rPr>
        <w:t>九</w:t>
      </w:r>
      <w:r>
        <w:rPr>
          <w:rFonts w:hint="eastAsia" w:ascii="仿宋_GB2312" w:hAnsi="仿宋_GB2312" w:eastAsia="仿宋_GB2312" w:cs="仿宋_GB2312"/>
          <w:b/>
          <w:kern w:val="0"/>
          <w:sz w:val="28"/>
          <w:szCs w:val="28"/>
        </w:rPr>
        <w:t>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60" w:lineRule="exact"/>
        <w:ind w:firstLine="630"/>
        <w:rPr>
          <w:rFonts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Theme="minorEastAsia" w:hAnsiTheme="minorEastAsia"/>
          <w:color w:val="FF0000"/>
          <w:spacing w:val="-2"/>
          <w:kern w:val="0"/>
          <w:sz w:val="28"/>
          <w:szCs w:val="28"/>
          <w:u w:val="single"/>
        </w:rPr>
        <w:t xml:space="preserve">       </w:t>
      </w:r>
    </w:p>
    <w:p>
      <w:pPr>
        <w:spacing w:line="460" w:lineRule="exact"/>
        <w:rPr>
          <w:rFonts w:ascii="仿宋_GB2312" w:hAnsi="仿宋_GB2312" w:eastAsia="仿宋_GB2312" w:cs="仿宋_GB2312"/>
          <w:sz w:val="28"/>
          <w:szCs w:val="28"/>
        </w:rPr>
      </w:pP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发起人签名或盖章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5040" w:firstLineChars="18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spacing w:line="46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仿宋_GB2312" w:eastAsia="仿宋_GB2312" w:cs="仿宋_GB2312"/>
          <w:b/>
          <w:bCs/>
          <w:color w:val="FF0000"/>
          <w:szCs w:val="21"/>
        </w:rPr>
        <w:t>备注：</w:t>
      </w:r>
      <w:r>
        <w:rPr>
          <w:rFonts w:hint="eastAsia" w:ascii="仿宋_GB2312"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eastAsia="仿宋_GB2312" w:cs="仿宋_GB2312"/>
          <w:color w:val="000000"/>
          <w:szCs w:val="21"/>
        </w:rPr>
      </w:pPr>
      <w:r>
        <w:rPr>
          <w:rFonts w:hint="eastAsia" w:ascii="仿宋_GB2312"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eastAsia="仿宋_GB2312" w:cs="仿宋_GB2312"/>
          <w:color w:val="000000"/>
          <w:szCs w:val="21"/>
        </w:rPr>
      </w:pPr>
      <w:r>
        <w:rPr>
          <w:rFonts w:hint="eastAsia" w:ascii="仿宋_GB2312"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spacing w:line="480" w:lineRule="exact"/>
        <w:ind w:right="561" w:firstLine="840" w:firstLineChars="400"/>
        <w:rPr>
          <w:rFonts w:ascii="仿宋_GB2312" w:hAnsi="仿宋_GB2312" w:eastAsia="仿宋_GB2312" w:cs="仿宋_GB2312"/>
          <w:color w:val="000000"/>
          <w:szCs w:val="21"/>
        </w:rPr>
      </w:pPr>
    </w:p>
    <w:p>
      <w:pPr>
        <w:pBdr>
          <w:top w:val="single" w:color="000000" w:sz="4" w:space="0"/>
          <w:left w:val="single" w:color="000000" w:sz="4" w:space="0"/>
          <w:bottom w:val="single" w:color="000000" w:sz="4" w:space="0"/>
          <w:right w:val="single" w:color="000000" w:sz="4" w:space="0"/>
        </w:pBdr>
        <w:spacing w:line="480" w:lineRule="exact"/>
        <w:ind w:right="561"/>
        <w:rPr>
          <w:rFonts w:ascii="仿宋_GB2312" w:hAnsi="仿宋_GB2312" w:eastAsia="仿宋_GB2312" w:cs="仿宋_GB2312"/>
          <w:szCs w:val="21"/>
        </w:rPr>
      </w:pPr>
      <w:r>
        <w:rPr>
          <w:rFonts w:hint="eastAsia" w:ascii="仿宋_GB2312" w:hAnsi="仿宋_GB2312" w:eastAsia="仿宋_GB2312" w:cs="仿宋_GB2312"/>
          <w:b/>
          <w:bCs/>
          <w:color w:val="FF0000"/>
          <w:szCs w:val="21"/>
        </w:rPr>
        <w:t>签署说明：</w:t>
      </w:r>
      <w:r>
        <w:rPr>
          <w:rFonts w:hint="eastAsia" w:ascii="仿宋_GB2312" w:hAnsi="仿宋_GB2312" w:eastAsia="仿宋_GB2312" w:cs="仿宋_GB2312"/>
          <w:szCs w:val="21"/>
        </w:rPr>
        <w:t>1.股份有限公司设立时的章程由全体发起人签署（自然人由本人签字，法</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b/>
          <w:bCs/>
          <w:i/>
          <w:color w:val="00B0F0"/>
          <w:szCs w:val="21"/>
          <w:shd w:val="clear" w:color="FFFFFF" w:fill="D9D9D9"/>
        </w:rPr>
      </w:pPr>
      <w:r>
        <w:rPr>
          <w:rFonts w:hint="eastAsia" w:ascii="仿宋_GB2312" w:hAnsi="仿宋_GB2312" w:eastAsia="仿宋_GB2312" w:cs="仿宋_GB2312"/>
          <w:szCs w:val="21"/>
        </w:rPr>
        <w:t>人和其他组织由法定代表人、负责人或有权签字人签字，并加盖公章）；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spacing w:line="480" w:lineRule="exact"/>
        <w:ind w:right="561"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2.股份有限公司变更登记或备案涉及公司章程修改的，修改后的公司章程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签字。</w:t>
      </w:r>
    </w:p>
    <w:p>
      <w:pPr>
        <w:rPr>
          <w:rFonts w:ascii="仿宋_GB2312" w:hAnsi="仿宋_GB2312" w:eastAsia="仿宋_GB2312" w:cs="仿宋_GB2312"/>
          <w:color w:val="FF0000"/>
          <w:kern w:val="0"/>
          <w:sz w:val="32"/>
          <w:szCs w:val="32"/>
        </w:rPr>
      </w:pPr>
    </w:p>
    <w:p>
      <w:pPr>
        <w:widowControl/>
        <w:spacing w:line="440" w:lineRule="exact"/>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tabs>
          <w:tab w:val="left" w:pos="0"/>
        </w:tabs>
        <w:spacing w:line="440" w:lineRule="exact"/>
        <w:rPr>
          <w:rFonts w:ascii="宋体" w:hAnsi="宋体" w:cs="宋体"/>
          <w:b/>
          <w:bCs/>
          <w:sz w:val="24"/>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00D84955"/>
    <w:rsid w:val="000D11B3"/>
    <w:rsid w:val="00116434"/>
    <w:rsid w:val="001D1028"/>
    <w:rsid w:val="00223F98"/>
    <w:rsid w:val="002A5C67"/>
    <w:rsid w:val="002E4085"/>
    <w:rsid w:val="003F6599"/>
    <w:rsid w:val="004521E0"/>
    <w:rsid w:val="004F5DF5"/>
    <w:rsid w:val="00554895"/>
    <w:rsid w:val="005C5676"/>
    <w:rsid w:val="006A2063"/>
    <w:rsid w:val="007868A9"/>
    <w:rsid w:val="0089393C"/>
    <w:rsid w:val="008E3BDF"/>
    <w:rsid w:val="009A6610"/>
    <w:rsid w:val="009B0FD9"/>
    <w:rsid w:val="00AE3A5F"/>
    <w:rsid w:val="00B047EC"/>
    <w:rsid w:val="00C85AE9"/>
    <w:rsid w:val="00CB46A6"/>
    <w:rsid w:val="00D84955"/>
    <w:rsid w:val="00E55DA9"/>
    <w:rsid w:val="00E57462"/>
    <w:rsid w:val="00E764E8"/>
    <w:rsid w:val="00EC4DE7"/>
    <w:rsid w:val="00F21592"/>
    <w:rsid w:val="02AD34F4"/>
    <w:rsid w:val="03585D92"/>
    <w:rsid w:val="04BF011C"/>
    <w:rsid w:val="0B433580"/>
    <w:rsid w:val="0C2D3B1B"/>
    <w:rsid w:val="0E530878"/>
    <w:rsid w:val="10A06403"/>
    <w:rsid w:val="14D9660B"/>
    <w:rsid w:val="160B6B83"/>
    <w:rsid w:val="17A32D73"/>
    <w:rsid w:val="194C551C"/>
    <w:rsid w:val="1B180F94"/>
    <w:rsid w:val="1F121AA3"/>
    <w:rsid w:val="22562883"/>
    <w:rsid w:val="28A55C63"/>
    <w:rsid w:val="2DB71C8A"/>
    <w:rsid w:val="31F82BCF"/>
    <w:rsid w:val="32582CF8"/>
    <w:rsid w:val="32BB19D7"/>
    <w:rsid w:val="351E1DA5"/>
    <w:rsid w:val="3670496E"/>
    <w:rsid w:val="36F03499"/>
    <w:rsid w:val="39190EB1"/>
    <w:rsid w:val="39BC61FD"/>
    <w:rsid w:val="3B0374EF"/>
    <w:rsid w:val="3D524693"/>
    <w:rsid w:val="3F584A84"/>
    <w:rsid w:val="4238251A"/>
    <w:rsid w:val="449176CF"/>
    <w:rsid w:val="45BB1AB4"/>
    <w:rsid w:val="47964F7D"/>
    <w:rsid w:val="47AD444C"/>
    <w:rsid w:val="481507C3"/>
    <w:rsid w:val="4AA4283F"/>
    <w:rsid w:val="4E8E3D09"/>
    <w:rsid w:val="4E9349F3"/>
    <w:rsid w:val="4F304B4A"/>
    <w:rsid w:val="4F6463C7"/>
    <w:rsid w:val="50A165A4"/>
    <w:rsid w:val="51641C95"/>
    <w:rsid w:val="52804F8B"/>
    <w:rsid w:val="538A2C0C"/>
    <w:rsid w:val="53F67CC8"/>
    <w:rsid w:val="5414510A"/>
    <w:rsid w:val="5B3D1CB9"/>
    <w:rsid w:val="5FC35935"/>
    <w:rsid w:val="608B173E"/>
    <w:rsid w:val="60AE4B68"/>
    <w:rsid w:val="614A7199"/>
    <w:rsid w:val="630254C1"/>
    <w:rsid w:val="645D4C16"/>
    <w:rsid w:val="6B3C011E"/>
    <w:rsid w:val="6BBE3533"/>
    <w:rsid w:val="6D4E5FA2"/>
    <w:rsid w:val="71B85FD8"/>
    <w:rsid w:val="71BA357B"/>
    <w:rsid w:val="71BF00EF"/>
    <w:rsid w:val="77DF39BA"/>
    <w:rsid w:val="7B986FF8"/>
    <w:rsid w:val="7E9FFE16"/>
    <w:rsid w:val="7F97480F"/>
    <w:rsid w:val="C97A60D9"/>
    <w:rsid w:val="F39F6A16"/>
    <w:rsid w:val="FE7F5C86"/>
    <w:rsid w:val="FFFF2110"/>
    <w:rsid w:val="FFFFC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annotation reference"/>
    <w:basedOn w:val="8"/>
    <w:semiHidden/>
    <w:qFormat/>
    <w:uiPriority w:val="99"/>
    <w:rPr>
      <w:sz w:val="21"/>
      <w:szCs w:val="21"/>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12"/>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8"/>
    <w:link w:val="5"/>
    <w:qFormat/>
    <w:uiPriority w:val="0"/>
    <w:rPr>
      <w:rFonts w:ascii="Calibri" w:hAnsi="Calibri"/>
      <w:kern w:val="2"/>
      <w:sz w:val="18"/>
      <w:szCs w:val="18"/>
    </w:rPr>
  </w:style>
  <w:style w:type="character" w:customStyle="1" w:styleId="13">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1439</Words>
  <Characters>8206</Characters>
  <Lines>68</Lines>
  <Paragraphs>19</Paragraphs>
  <TotalTime>0</TotalTime>
  <ScaleCrop>false</ScaleCrop>
  <LinksUpToDate>false</LinksUpToDate>
  <CharactersWithSpaces>9626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2022-05-21T01:38:00Z</dcterms:created>
  <dc:creator>dukang</dc:creator>
  <cp:lastModifiedBy>user</cp:lastModifiedBy>
  <dcterms:modified xsi:type="dcterms:W3CDTF">2025-08-06T11:20:11Z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12443D1A72D192D597A818673AC4F2BB_43</vt:lpwstr>
  </property>
</Properties>
</file>