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sz w:val="24"/>
        </w:rPr>
      </w:pPr>
      <w:r>
        <w:rPr>
          <w:rFonts w:hint="eastAsia" w:ascii="宋体" w:hAnsi="宋体"/>
          <w:b/>
          <w:color w:val="000000"/>
          <w:sz w:val="24"/>
        </w:rPr>
        <w:t>股份有限公司情形6：发起设立，2-200个股东，设董事1人、监事1人、经理</w:t>
      </w:r>
      <w:r>
        <w:rPr>
          <w:rFonts w:hint="eastAsia" w:ascii="宋体" w:hAnsi="宋体" w:cs="宋体"/>
          <w:b/>
          <w:color w:val="FF0000"/>
          <w:sz w:val="24"/>
        </w:rPr>
        <w:t>（注：为便于工作人员审查，本条无需删除。）</w:t>
      </w:r>
    </w:p>
    <w:p>
      <w:pPr>
        <w:jc w:val="left"/>
        <w:rPr>
          <w:rFonts w:hint="eastAsia" w:ascii="宋体" w:hAnsi="宋体" w:cs="宋体"/>
          <w:sz w:val="28"/>
          <w:szCs w:val="28"/>
        </w:rPr>
      </w:pPr>
    </w:p>
    <w:p>
      <w:pPr>
        <w:jc w:val="center"/>
        <w:rPr>
          <w:rFonts w:hint="eastAsia" w:ascii="黑体" w:hAnsi="黑体" w:eastAsia="黑体" w:cs="黑体"/>
          <w:b/>
          <w:bCs/>
          <w:sz w:val="36"/>
          <w:szCs w:val="36"/>
        </w:rPr>
      </w:pPr>
      <w:r>
        <w:rPr>
          <w:rFonts w:hint="eastAsia" w:ascii="黑体" w:hAnsi="黑体" w:eastAsia="黑体" w:cs="黑体"/>
          <w:b/>
          <w:bCs/>
          <w:sz w:val="36"/>
          <w:szCs w:val="36"/>
          <w:u w:val="single"/>
        </w:rPr>
        <w:t xml:space="preserve">              </w:t>
      </w:r>
      <w:r>
        <w:rPr>
          <w:rFonts w:hint="eastAsia" w:ascii="黑体" w:hAnsi="黑体" w:eastAsia="黑体" w:cs="黑体"/>
          <w:b/>
          <w:bCs/>
          <w:sz w:val="36"/>
          <w:szCs w:val="36"/>
        </w:rPr>
        <w:t>股份有限公司章程</w:t>
      </w:r>
    </w:p>
    <w:p>
      <w:pPr>
        <w:jc w:val="left"/>
        <w:rPr>
          <w:rFonts w:ascii="宋体"/>
          <w:sz w:val="32"/>
          <w:szCs w:val="32"/>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w:t>
      </w:r>
      <w:r>
        <w:rPr>
          <w:rFonts w:hint="eastAsia" w:ascii="仿宋_GB2312" w:hAnsi="仿宋_GB2312" w:eastAsia="仿宋_GB2312" w:cs="仿宋_GB2312"/>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spacing w:line="480" w:lineRule="exact"/>
        <w:ind w:left="276" w:hanging="276" w:hangingChars="1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80" w:lineRule="exact"/>
        <w:ind w:firstLine="552" w:firstLineChars="200"/>
        <w:rPr>
          <w:rFonts w:hint="eastAsia"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firstLine="624"/>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widowControl/>
        <w:spacing w:line="480" w:lineRule="exact"/>
        <w:ind w:firstLine="562"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lang w:bidi="ar"/>
        </w:rPr>
        <w:t xml:space="preserve"> </w:t>
      </w:r>
      <w:r>
        <w:rPr>
          <w:rFonts w:hint="eastAsia" w:ascii="仿宋_GB2312" w:hAnsi="仿宋_GB2312" w:eastAsia="仿宋_GB2312" w:cs="仿宋_GB2312"/>
          <w:color w:val="000000"/>
          <w:kern w:val="0"/>
          <w:sz w:val="28"/>
          <w:szCs w:val="28"/>
          <w:lang w:bidi="ar"/>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r>
        <w:rPr>
          <w:rFonts w:hint="eastAsia" w:ascii="仿宋_GB2312" w:hAnsi="仿宋_GB2312" w:eastAsia="仿宋_GB2312" w:cs="仿宋_GB2312"/>
          <w:kern w:val="0"/>
          <w:sz w:val="28"/>
          <w:szCs w:val="28"/>
        </w:rPr>
        <w:t>公司股份总数为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spacing w:val="-2"/>
          <w:kern w:val="0"/>
          <w:sz w:val="28"/>
          <w:szCs w:val="28"/>
          <w:u w:val="single"/>
          <w:lang w:val="en"/>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z w:val="28"/>
          <w:szCs w:val="28"/>
          <w:lang w:val="en"/>
        </w:rPr>
        <w:t>万</w:t>
      </w:r>
      <w:r>
        <w:rPr>
          <w:rFonts w:hint="eastAsia" w:ascii="仿宋_GB2312" w:hAnsi="仿宋_GB2312" w:eastAsia="仿宋_GB2312" w:cs="仿宋_GB2312"/>
          <w:kern w:val="0"/>
          <w:sz w:val="28"/>
          <w:szCs w:val="28"/>
        </w:rPr>
        <w:t>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3.发行类别股的公司，应当在公司章程中载明以下事项，并修改本条：</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（一）类别股分配利润或者剩余财产的顺序；</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（二）类别股的表决权数；</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（三）类别股的转让限制；</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（四）保护中小股东权益的措施；</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（五）股东会认为需要规定的其他事项。</w:t>
      </w:r>
    </w:p>
    <w:p>
      <w:pPr>
        <w:spacing w:line="460" w:lineRule="exact"/>
        <w:ind w:firstLine="560" w:firstLineChars="200"/>
        <w:rPr>
          <w:rFonts w:ascii="仿宋_GB2312" w:hAnsi="仿宋_GB2312" w:eastAsia="仿宋_GB2312" w:cs="仿宋_GB2312"/>
          <w:iCs/>
          <w:color w:val="FF0000"/>
          <w:sz w:val="28"/>
          <w:szCs w:val="28"/>
        </w:rPr>
      </w:pPr>
      <w:r>
        <w:rPr>
          <w:rFonts w:ascii="仿宋_GB2312" w:hAnsi="仿宋_GB2312" w:eastAsia="仿宋_GB2312" w:cs="仿宋_GB2312"/>
          <w:iCs/>
          <w:color w:val="FF0000"/>
          <w:sz w:val="28"/>
          <w:szCs w:val="28"/>
        </w:rPr>
        <w:t>其他涉及类别股有特别规定的条款请相应修改。</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4.股份有限公司的注册资本为在公司登记机关登记的已发行股份的股本总额。）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60" w:firstLineChars="200"/>
        <w:rPr>
          <w:rFonts w:hint="eastAsia" w:eastAsia="仿宋_GB2312"/>
          <w:sz w:val="28"/>
          <w:szCs w:val="28"/>
        </w:rPr>
      </w:pPr>
      <w:r>
        <w:rPr>
          <w:rFonts w:ascii="仿宋_GB2312" w:hAnsi="仿宋_GB2312" w:eastAsia="仿宋_GB2312"/>
          <w:sz w:val="28"/>
          <w:szCs w:val="28"/>
        </w:rPr>
        <w:t>股份有限公司为增加注册资本发行新股时，股东不享有优先认购权，股东会决议决定股东享有优先认购权的除外。</w:t>
      </w:r>
    </w:p>
    <w:p>
      <w:pPr>
        <w:spacing w:line="480" w:lineRule="exact"/>
        <w:jc w:val="lef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（注：可以约定按照其他方式认缴新增注册资本，可以约定</w:t>
      </w:r>
      <w:r>
        <w:rPr>
          <w:rFonts w:ascii="仿宋_GB2312" w:hAnsi="仿宋_GB2312" w:eastAsia="仿宋_GB2312"/>
          <w:color w:val="FF0000"/>
          <w:sz w:val="28"/>
          <w:szCs w:val="28"/>
        </w:rPr>
        <w:t>股东享有优先认购权</w:t>
      </w:r>
      <w:r>
        <w:rPr>
          <w:rFonts w:hint="eastAsia" w:ascii="仿宋_GB2312" w:hAnsi="仿宋_GB2312" w:eastAsia="仿宋_GB2312"/>
          <w:color w:val="FF0000"/>
          <w:sz w:val="28"/>
          <w:szCs w:val="28"/>
        </w:rPr>
        <w:t>，</w:t>
      </w:r>
      <w:r>
        <w:rPr>
          <w:rFonts w:hint="eastAsia" w:ascii="仿宋_GB2312" w:hAnsi="仿宋_GB2312" w:eastAsia="仿宋_GB2312" w:cs="仿宋_GB2312"/>
          <w:iCs/>
          <w:color w:val="FF0000"/>
          <w:sz w:val="28"/>
          <w:szCs w:val="28"/>
        </w:rPr>
        <w:t>并修改本款。）</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公司减少注册资本时，应当按照股东</w:t>
      </w:r>
      <w:r>
        <w:rPr>
          <w:rFonts w:ascii="仿宋_GB2312" w:hAnsi="仿宋_GB2312" w:eastAsia="仿宋_GB2312"/>
          <w:sz w:val="28"/>
          <w:szCs w:val="28"/>
        </w:rPr>
        <w:t>持有股份的比例相应减少股份</w:t>
      </w:r>
      <w:r>
        <w:rPr>
          <w:rFonts w:hint="eastAsia" w:ascii="仿宋_GB2312" w:hAnsi="仿宋_GB2312" w:eastAsia="仿宋_GB2312"/>
          <w:sz w:val="28"/>
          <w:szCs w:val="28"/>
        </w:rPr>
        <w:t>，法律另有规定</w:t>
      </w:r>
      <w:r>
        <w:rPr>
          <w:rFonts w:ascii="仿宋_GB2312" w:hAnsi="仿宋_GB2312" w:eastAsia="仿宋_GB2312"/>
          <w:sz w:val="28"/>
          <w:szCs w:val="28"/>
        </w:rPr>
        <w:t>的</w:t>
      </w:r>
      <w:r>
        <w:rPr>
          <w:rFonts w:hint="eastAsia" w:ascii="仿宋_GB2312" w:hAnsi="仿宋_GB2312" w:eastAsia="仿宋_GB2312" w:cs="仿宋_GB2312"/>
          <w:spacing w:val="-2"/>
          <w:kern w:val="0"/>
          <w:sz w:val="28"/>
          <w:szCs w:val="28"/>
        </w:rPr>
        <w:t>除外。</w:t>
      </w:r>
    </w:p>
    <w:p>
      <w:pPr>
        <w:spacing w:line="480" w:lineRule="exact"/>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iCs/>
          <w:color w:val="FF0000"/>
          <w:sz w:val="28"/>
          <w:szCs w:val="28"/>
        </w:rPr>
        <w:t>（注：可以约定按照其他方式减少出资额，可以约定</w:t>
      </w:r>
      <w:r>
        <w:rPr>
          <w:rFonts w:ascii="仿宋_GB2312" w:hAnsi="仿宋_GB2312" w:eastAsia="仿宋_GB2312"/>
          <w:color w:val="FF0000"/>
          <w:sz w:val="28"/>
          <w:szCs w:val="28"/>
        </w:rPr>
        <w:t>股东</w:t>
      </w:r>
      <w:r>
        <w:rPr>
          <w:rFonts w:hint="eastAsia" w:ascii="仿宋_GB2312" w:hAnsi="仿宋_GB2312" w:eastAsia="仿宋_GB2312"/>
          <w:color w:val="FF0000"/>
          <w:sz w:val="28"/>
          <w:szCs w:val="28"/>
        </w:rPr>
        <w:t>不等比例</w:t>
      </w:r>
      <w:r>
        <w:rPr>
          <w:rFonts w:hint="eastAsia" w:ascii="仿宋_GB2312" w:hAnsi="仿宋_GB2312" w:eastAsia="仿宋_GB2312" w:cs="仿宋_GB2312"/>
          <w:iCs/>
          <w:color w:val="FF0000"/>
          <w:sz w:val="28"/>
          <w:szCs w:val="28"/>
        </w:rPr>
        <w:t>减少股份，并修改本款。）</w:t>
      </w:r>
    </w:p>
    <w:p>
      <w:pPr>
        <w:widowControl/>
        <w:spacing w:line="480" w:lineRule="exact"/>
        <w:jc w:val="left"/>
        <w:rPr>
          <w:rFonts w:hint="eastAsia" w:ascii="仿宋_GB2312" w:hAnsi="仿宋_GB2312" w:eastAsia="仿宋_GB2312" w:cs="仿宋_GB2312"/>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w:t>
      </w:r>
      <w:r>
        <w:rPr>
          <w:rFonts w:hint="eastAsia" w:ascii="黑体" w:hAnsi="黑体" w:eastAsia="黑体"/>
          <w:b/>
          <w:kern w:val="0"/>
          <w:sz w:val="28"/>
          <w:szCs w:val="28"/>
          <w:lang w:eastAsia="zh-CN"/>
        </w:rPr>
        <w:t>三</w:t>
      </w:r>
      <w:r>
        <w:rPr>
          <w:rFonts w:hint="eastAsia" w:ascii="黑体" w:hAnsi="黑体" w:eastAsia="黑体"/>
          <w:b/>
          <w:kern w:val="0"/>
          <w:sz w:val="28"/>
          <w:szCs w:val="28"/>
        </w:rPr>
        <w:t>章  公司</w:t>
      </w:r>
      <w:r>
        <w:rPr>
          <w:rFonts w:ascii="黑体" w:hAnsi="黑体" w:eastAsia="黑体"/>
          <w:b/>
          <w:kern w:val="0"/>
          <w:sz w:val="28"/>
          <w:szCs w:val="28"/>
        </w:rPr>
        <w:t>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个：</w:t>
      </w:r>
      <w:r>
        <w:rPr>
          <w:rFonts w:hint="eastAsia" w:ascii="仿宋_GB2312" w:hAnsi="仿宋_GB2312" w:eastAsia="仿宋_GB2312" w:cs="仿宋_GB2312"/>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z w:val="28"/>
          <w:szCs w:val="28"/>
        </w:rPr>
        <w:t>认购的股份数和出资方式</w:t>
      </w:r>
      <w:r>
        <w:rPr>
          <w:rFonts w:hint="eastAsia" w:ascii="仿宋_GB2312" w:hAnsi="仿宋_GB2312" w:eastAsia="仿宋_GB2312" w:cs="仿宋_GB2312"/>
          <w:spacing w:val="-2"/>
          <w:kern w:val="0"/>
          <w:sz w:val="28"/>
          <w:szCs w:val="28"/>
        </w:rPr>
        <w:t>：</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numPr>
          <w:ilvl w:val="0"/>
          <w:numId w:val="1"/>
        </w:num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 xml:space="preserve">， </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（注：股份有限公司应当有一人以上二百人以下发起人，其中须有半数以上的发起人在中国境内有住所。）</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hint="eastAsia"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（六）有权查阅、复制公司章程、股东名册、股东会会议记录、董事决定、监事决定和财务会计报告，对公司的经营提出建议或者质询。</w:t>
      </w:r>
    </w:p>
    <w:p>
      <w:pPr>
        <w:spacing w:line="480" w:lineRule="exact"/>
        <w:ind w:firstLine="560" w:firstLineChars="200"/>
        <w:rPr>
          <w:rFonts w:hint="eastAsia" w:ascii="仿宋_GB2312" w:hAnsi="仿宋_GB2312" w:eastAsia="仿宋_GB2312" w:cs="仿宋_GB2312"/>
          <w:color w:val="FF0000"/>
          <w:spacing w:val="-2"/>
          <w:kern w:val="0"/>
          <w:sz w:val="28"/>
          <w:szCs w:val="28"/>
        </w:rPr>
      </w:pPr>
      <w:r>
        <w:rPr>
          <w:rFonts w:ascii="仿宋_GB2312" w:hAnsi="仿宋_GB2312" w:eastAsia="仿宋_GB2312"/>
          <w:sz w:val="28"/>
          <w:szCs w:val="28"/>
        </w:rPr>
        <w:t>连续一百八十日以上单独或者合计持有公司</w:t>
      </w:r>
      <w:r>
        <w:rPr>
          <w:rFonts w:ascii="仿宋_GB2312" w:hAnsi="仿宋_GB2312" w:eastAsia="仿宋_GB2312"/>
          <w:sz w:val="28"/>
          <w:szCs w:val="28"/>
          <w:u w:val="single"/>
        </w:rPr>
        <w:t>百分之三</w:t>
      </w:r>
      <w:r>
        <w:rPr>
          <w:rFonts w:ascii="仿宋_GB2312" w:hAnsi="仿宋_GB2312" w:eastAsia="仿宋_GB2312"/>
          <w:sz w:val="28"/>
          <w:szCs w:val="28"/>
        </w:rPr>
        <w:t>以上股份的股东</w:t>
      </w:r>
      <w:r>
        <w:rPr>
          <w:rFonts w:hint="eastAsia" w:ascii="仿宋_GB2312" w:hAnsi="仿宋_GB2312" w:eastAsia="仿宋_GB2312" w:cs="仿宋_GB2312"/>
          <w:color w:val="000000"/>
          <w:spacing w:val="-2"/>
          <w:kern w:val="0"/>
          <w:sz w:val="28"/>
          <w:szCs w:val="28"/>
        </w:rPr>
        <w:t>有权要求查阅公司及其全资子公司会计账簿、会计凭证，公司拒绝提供查阅的，股东可以向人民法院提起诉讼。</w:t>
      </w:r>
      <w:r>
        <w:rPr>
          <w:rFonts w:hint="eastAsia" w:ascii="仿宋_GB2312" w:hAnsi="仿宋_GB2312" w:eastAsia="仿宋_GB2312" w:cs="仿宋_GB2312"/>
          <w:color w:val="FF0000"/>
          <w:spacing w:val="-2"/>
          <w:kern w:val="0"/>
          <w:sz w:val="28"/>
          <w:szCs w:val="28"/>
        </w:rPr>
        <w:t>（注：</w:t>
      </w:r>
      <w:r>
        <w:rPr>
          <w:rFonts w:ascii="仿宋_GB2312" w:hAnsi="仿宋_GB2312" w:eastAsia="仿宋_GB2312"/>
          <w:color w:val="FF0000"/>
          <w:sz w:val="28"/>
          <w:szCs w:val="28"/>
        </w:rPr>
        <w:t>对持股比例有较低规定的，</w:t>
      </w:r>
      <w:r>
        <w:rPr>
          <w:rFonts w:hint="eastAsia" w:ascii="仿宋_GB2312" w:hAnsi="仿宋_GB2312" w:eastAsia="仿宋_GB2312"/>
          <w:color w:val="FF0000"/>
          <w:sz w:val="28"/>
          <w:szCs w:val="28"/>
        </w:rPr>
        <w:t>可以修改本项。）</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（九）有选举和被选举为董事或者监事的权利；</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股东会、董事的会议召集程序、表决方式违反法律、行政法规或者公司章程，或者决议内容违反公司章程的，股东可以请求人民法院撤销。股东会、董事的会议召集程序或者表决方式仅有轻微瑕疵，对决议未产生实质影响的除外。</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（二）应当按期足额缴纳出资额；</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jc w:val="center"/>
        <w:rPr>
          <w:rFonts w:hint="eastAsia" w:ascii="黑体" w:hAnsi="黑体" w:eastAsia="黑体"/>
          <w:b/>
          <w:kern w:val="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1.发起人姓名（名称）：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2.发起人姓名（名称）：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8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可以授权董事在三年内决定发行不超过已发行股份百分之五十的股份。但以非货币财产作价出资的应当经股东</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表决。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lang w:bidi="ar"/>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股份有限公司成立后，董事应当对发起人的出资情况进行核查，发现发起人未足额缴纳公司章程规定的出资的，应当由公司向该发起人发出书面催缴书，催缴出资。</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足额缴纳出资的，公司发出书面催缴书催缴出资的，可以载明缴纳出资的宽限期；宽限期自公司发出催缴书之日起，不得少于六十日。宽限期届满，发起人仍未履行出资义务的，公司经董事决定可以向发起人发出失权通知，通知应当以书面形式发出。自通知发出之日起，发起人丧失其未缴纳出资的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cs="黑体"/>
          <w:b/>
          <w:bCs/>
          <w:sz w:val="28"/>
          <w:szCs w:val="28"/>
        </w:rPr>
        <w:t>第五章　股份转让</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第二十二条</w:t>
      </w:r>
      <w:r>
        <w:rPr>
          <w:rFonts w:ascii="仿宋_GB2312" w:hAnsi="仿宋_GB2312" w:eastAsia="仿宋_GB2312"/>
          <w:sz w:val="28"/>
          <w:szCs w:val="28"/>
        </w:rPr>
        <w:t>　股东持有的股份可以向其他股东转让，也可以向股东以外的人转让</w:t>
      </w:r>
      <w:r>
        <w:rPr>
          <w:rFonts w:hint="eastAsia" w:ascii="仿宋_GB2312" w:hAnsi="仿宋_GB2312" w:eastAsia="仿宋_GB2312"/>
          <w:sz w:val="28"/>
          <w:szCs w:val="28"/>
        </w:rPr>
        <w:t>。</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（注：可以根据需要依法约定股份转让的限制条件，并记载于本条。）</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第二十三条</w:t>
      </w:r>
      <w:r>
        <w:rPr>
          <w:rFonts w:ascii="仿宋_GB2312" w:hAnsi="仿宋_GB2312" w:eastAsia="仿宋_GB2312"/>
          <w:sz w:val="28"/>
          <w:szCs w:val="28"/>
        </w:rPr>
        <w:t>　股东转让其股份，应当在依法设立的证券交易场所进行或者按照国务院规定的其他方式进行。</w:t>
      </w:r>
    </w:p>
    <w:p>
      <w:pPr>
        <w:spacing w:line="480" w:lineRule="exact"/>
        <w:ind w:firstLine="562" w:firstLineChars="200"/>
        <w:rPr>
          <w:sz w:val="28"/>
          <w:szCs w:val="28"/>
        </w:rPr>
      </w:pPr>
      <w:r>
        <w:rPr>
          <w:rFonts w:hint="eastAsia" w:ascii="仿宋_GB2312" w:hAnsi="仿宋_GB2312" w:eastAsia="仿宋_GB2312" w:cs="仿宋_GB2312"/>
          <w:b/>
          <w:kern w:val="0"/>
          <w:sz w:val="28"/>
          <w:szCs w:val="28"/>
        </w:rPr>
        <w:t>第二十四条</w:t>
      </w:r>
      <w:r>
        <w:rPr>
          <w:rFonts w:ascii="仿宋_GB2312" w:hAnsi="仿宋_GB2312" w:eastAsia="仿宋_GB2312"/>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rPr>
          <w:rFonts w:hint="eastAsia" w:ascii="仿宋_GB2312" w:hAnsi="仿宋_GB2312" w:eastAsia="仿宋_GB2312"/>
          <w:sz w:val="28"/>
          <w:szCs w:val="28"/>
        </w:rPr>
      </w:pPr>
      <w:r>
        <w:rPr>
          <w:rFonts w:ascii="仿宋_GB2312" w:hAnsi="仿宋_GB2312" w:eastAsia="仿宋_GB2312"/>
          <w:sz w:val="28"/>
          <w:szCs w:val="28"/>
        </w:rPr>
        <w:t>股东会会议召开前二十日内或者公司决定分配股利的基准日前五日内，不得变更股东名册。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cs="仿宋_GB2312"/>
          <w:iCs/>
          <w:color w:val="FF0000"/>
          <w:sz w:val="28"/>
          <w:szCs w:val="28"/>
        </w:rPr>
        <w:t>（注：股份转让受限的股份有限公司可以另外约定股份继承的要求，并修改本条。）</w:t>
      </w:r>
    </w:p>
    <w:p>
      <w:pPr>
        <w:spacing w:line="480" w:lineRule="exact"/>
        <w:jc w:val="center"/>
        <w:rPr>
          <w:rFonts w:hint="eastAsia" w:ascii="黑体" w:hAnsi="黑体" w:eastAsia="黑体" w:cs="黑体"/>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hint="eastAsia"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000000"/>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w:t>
      </w:r>
    </w:p>
    <w:p>
      <w:pPr>
        <w:spacing w:line="480" w:lineRule="exact"/>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务，重新产生符合法律、行政法规和本章程规定的任职资格的法定代表人：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cs="黑体"/>
          <w:sz w:val="28"/>
          <w:szCs w:val="28"/>
        </w:rPr>
      </w:pPr>
      <w:r>
        <w:rPr>
          <w:rFonts w:hint="eastAsia" w:ascii="黑体" w:hAnsi="黑体" w:eastAsia="黑体"/>
          <w:b/>
          <w:kern w:val="0"/>
          <w:sz w:val="28"/>
          <w:szCs w:val="28"/>
        </w:rPr>
        <w:t xml:space="preserve">第七章  </w:t>
      </w:r>
      <w:r>
        <w:rPr>
          <w:rFonts w:ascii="黑体" w:hAnsi="黑体" w:eastAsia="黑体"/>
          <w:b/>
          <w:kern w:val="0"/>
          <w:sz w:val="28"/>
          <w:szCs w:val="28"/>
        </w:rPr>
        <w:t>公司的机构及其产生办法、职权、议事规则</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第三十二条</w:t>
      </w:r>
      <w:r>
        <w:rPr>
          <w:rFonts w:hint="eastAsia" w:ascii="仿宋_GB2312" w:hAnsi="仿宋_GB2312" w:eastAsia="仿宋_GB2312" w:cs="仿宋_GB2312"/>
          <w:sz w:val="28"/>
          <w:szCs w:val="28"/>
        </w:rPr>
        <w:t xml:space="preserve">  公司股东会由全体股东组成，股东会是公司的权力机构。</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第三十三条</w:t>
      </w:r>
      <w:r>
        <w:rPr>
          <w:rFonts w:hint="eastAsia" w:ascii="仿宋_GB2312" w:hAnsi="仿宋_GB2312" w:eastAsia="仿宋_GB2312" w:cs="仿宋_GB2312"/>
          <w:sz w:val="28"/>
          <w:szCs w:val="28"/>
        </w:rPr>
        <w:t xml:space="preserve">  股东会行使下列职权：</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（一）选举和更换董事、监事，决定有关董事、监事的报酬事项；</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（二）审议批准董事的报告；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（三）审议批准监事的报告；</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（四）审议批准公司的利润分配方案和弥补亏损方案；</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（五）对公司增加或者减少注册资本作出决议；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（六）对发行公司债券作出决议；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（七）对公司合并、分立、解散、清算或者变更公司形式作出决议；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（八）修改公司章程。</w:t>
      </w:r>
    </w:p>
    <w:p>
      <w:pPr>
        <w:spacing w:line="480" w:lineRule="exact"/>
        <w:ind w:firstLine="420" w:firstLineChars="15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（注：可以依法规定股东会的其他职权，并记载于本条。）</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股东会可以授权董事对发行公司债券作出决议。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第三十四条</w:t>
      </w:r>
      <w:r>
        <w:rPr>
          <w:rFonts w:hint="eastAsia" w:ascii="仿宋_GB2312" w:hAnsi="仿宋_GB2312" w:eastAsia="仿宋_GB2312" w:cs="仿宋_GB2312"/>
          <w:sz w:val="28"/>
          <w:szCs w:val="28"/>
        </w:rPr>
        <w:t xml:space="preserve">  股东会应当每年召开一次年会。有下列情形之一的，应当在两个月内召开临时股东会会议：</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（一）公司未弥补的亏损达股本总额三分之一时；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（二）单独或者合计持有公司百分之十以上股份的股东请求时；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（三）董事认为必要时；</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（四）监事提议召开时。</w:t>
      </w:r>
    </w:p>
    <w:p>
      <w:pPr>
        <w:spacing w:line="48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iCs/>
          <w:color w:val="FF0000"/>
          <w:sz w:val="28"/>
          <w:szCs w:val="28"/>
        </w:rPr>
        <w:t>（注：可以自行约定股东会召开临时会议的其他情形，并记载于本条。）</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第三十五条</w:t>
      </w:r>
      <w:r>
        <w:rPr>
          <w:rFonts w:hint="eastAsia" w:ascii="仿宋_GB2312" w:hAnsi="仿宋_GB2312" w:eastAsia="仿宋_GB2312" w:cs="仿宋_GB2312"/>
          <w:sz w:val="28"/>
          <w:szCs w:val="28"/>
        </w:rPr>
        <w:t xml:space="preserve">  股东会会议由董事召集并主持；董事不能履行职务或不履行职务的，监事应当及时召集和主持；监事不召集和主持的，连续九十日以上单独或者合计持有公司百分之十以上股份的股东可以自行召集和主持。</w:t>
      </w:r>
    </w:p>
    <w:p>
      <w:pPr>
        <w:spacing w:line="480" w:lineRule="exact"/>
        <w:ind w:firstLine="560" w:firstLineChars="200"/>
        <w:rPr>
          <w:rFonts w:hint="eastAsia" w:ascii="仿宋_GB2312" w:hAnsi="仿宋_GB2312" w:eastAsia="仿宋_GB2312" w:cs="仿宋_GB2312"/>
          <w:sz w:val="28"/>
          <w:szCs w:val="28"/>
        </w:rPr>
      </w:pPr>
      <w:r>
        <w:rPr>
          <w:rFonts w:ascii="仿宋_GB2312" w:hAnsi="仿宋_GB2312" w:eastAsia="仿宋_GB2312"/>
          <w:sz w:val="28"/>
          <w:szCs w:val="28"/>
        </w:rPr>
        <w:t>单独或者合计持有公司百分之十以上股份的股东请求召开临时股东会会议的，董事、</w:t>
      </w:r>
      <w:r>
        <w:rPr>
          <w:rFonts w:hint="eastAsia" w:ascii="仿宋_GB2312" w:hAnsi="仿宋_GB2312" w:eastAsia="仿宋_GB2312"/>
          <w:sz w:val="28"/>
          <w:szCs w:val="28"/>
        </w:rPr>
        <w:t>监事</w:t>
      </w:r>
      <w:r>
        <w:rPr>
          <w:rFonts w:ascii="仿宋_GB2312" w:hAnsi="仿宋_GB2312" w:eastAsia="仿宋_GB2312"/>
          <w:sz w:val="28"/>
          <w:szCs w:val="28"/>
        </w:rPr>
        <w:t>应当在收到请求之日起十日内作出是否召开临时股东会会议的决定，并书面答复股东。</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第三十六条</w:t>
      </w:r>
      <w:r>
        <w:rPr>
          <w:rFonts w:hint="eastAsia" w:ascii="仿宋_GB2312" w:hAnsi="仿宋_GB2312" w:eastAsia="仿宋_GB2312" w:cs="仿宋_GB2312"/>
          <w:sz w:val="28"/>
          <w:szCs w:val="28"/>
        </w:rPr>
        <w:t xml:space="preserve">  召开股东会会议，应当将会议召开的时间、地点和审议的事项于会议召开二十日前通知各股东；临时股东会会议应当于会议召开十五日前通知各股东。</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独或者合计持有公司百分之一以上股份的股东，可以在股东会召开十日前提出临时提案并书面提交董事。董事应当在收到提案后二日内通知其他股东；并将该临时提案提交股东会审议。但临时提案违反法律、行政法规或者公司章程的规定，或者不属于股东会职权范围的除外。公司不得提高提出临时提案股东的持股比例。</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股东会不得对通知中未列明的事项作出决议。</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第三十七条</w:t>
      </w:r>
      <w:r>
        <w:rPr>
          <w:rFonts w:hint="eastAsia" w:ascii="仿宋_GB2312" w:hAnsi="仿宋_GB2312" w:eastAsia="仿宋_GB2312" w:cs="仿宋_GB2312"/>
          <w:sz w:val="28"/>
          <w:szCs w:val="28"/>
        </w:rPr>
        <w:t xml:space="preserve">  股东可以委托代理人出席股东会会议的，应当明确代理人代理的事项、权限和期限；代理人应当向公司提交股东授权委托书，并在授权范围内行使表决权。</w:t>
      </w:r>
    </w:p>
    <w:p>
      <w:pPr>
        <w:spacing w:line="480" w:lineRule="exact"/>
        <w:ind w:firstLine="64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第三十八条</w:t>
      </w:r>
      <w:r>
        <w:rPr>
          <w:rFonts w:hint="eastAsia" w:ascii="仿宋_GB2312" w:hAnsi="仿宋_GB2312" w:eastAsia="仿宋_GB2312" w:cs="仿宋_GB2312"/>
          <w:sz w:val="28"/>
          <w:szCs w:val="28"/>
        </w:rPr>
        <w:t xml:space="preserve">  股东会应当对所议事项的决定作成会议记录，主持人、出席会议的董事应当在会议记录上签名。会议记录应当与出席股东的签名册及代理出席的委托书一并保存。</w:t>
      </w:r>
    </w:p>
    <w:p>
      <w:pPr>
        <w:spacing w:line="480" w:lineRule="exact"/>
        <w:ind w:firstLine="562"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第三十九条</w:t>
      </w:r>
      <w:r>
        <w:rPr>
          <w:rFonts w:hint="eastAsia" w:ascii="仿宋_GB2312" w:hAnsi="仿宋_GB2312" w:eastAsia="仿宋_GB2312" w:cs="仿宋_GB2312"/>
          <w:sz w:val="28"/>
          <w:szCs w:val="28"/>
        </w:rPr>
        <w:t xml:space="preserve">  股东出席股东会会议，所持每一股份有一表决权，类别股股东除外。公司持有的本公司股份没有表决权。</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股东会作出决议，应当经出席会议的股东所持表决权过半数通过。</w:t>
      </w:r>
    </w:p>
    <w:p>
      <w:pPr>
        <w:spacing w:line="48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股东会作出修改公司章程、增加或者减少注册资本的决议，以及公司合并、分立、解散或者变更公司形式的决议，应当经出席会议的股东所持表决权的三分之二以上通过。</w:t>
      </w:r>
    </w:p>
    <w:p>
      <w:pPr>
        <w:spacing w:line="480" w:lineRule="exact"/>
        <w:ind w:firstLine="56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股东会选举董事、监事实行累积投票制。</w:t>
      </w:r>
    </w:p>
    <w:p>
      <w:pPr>
        <w:spacing w:line="48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（注：公司章程可以约定股东会选举董事、监事不实行累积投票制，并修改本款。）</w:t>
      </w:r>
    </w:p>
    <w:p>
      <w:pPr>
        <w:spacing w:line="480" w:lineRule="exact"/>
        <w:ind w:firstLine="562" w:firstLineChars="200"/>
        <w:rPr>
          <w:rFonts w:hint="eastAsia" w:eastAsia="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spacing w:val="-2"/>
          <w:kern w:val="0"/>
          <w:sz w:val="28"/>
          <w:szCs w:val="28"/>
        </w:rPr>
        <w:t>设董事会，设董事1人，由股东会选举产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（八）决定聘任或者解聘公司经理及其报酬事项，并根据经理的提名决定聘任或者解聘公司财务负责人及其报酬事项；</w:t>
      </w:r>
    </w:p>
    <w:p>
      <w:pPr>
        <w:spacing w:line="480" w:lineRule="exact"/>
        <w:ind w:firstLine="552" w:firstLineChars="200"/>
        <w:rPr>
          <w:rFonts w:hint="eastAsia" w:ascii="仿宋_GB2312" w:hAnsi="仿宋_GB2312" w:eastAsia="仿宋_GB2312" w:cs="仿宋_GB2312"/>
          <w:sz w:val="28"/>
          <w:szCs w:val="28"/>
        </w:rPr>
      </w:pPr>
      <w:r>
        <w:rPr>
          <w:rFonts w:hint="eastAsia" w:ascii="仿宋_GB2312" w:hAnsi="仿宋_GB2312" w:eastAsia="仿宋_GB2312" w:cs="仿宋_GB2312"/>
          <w:spacing w:val="-2"/>
          <w:kern w:val="0"/>
          <w:sz w:val="28"/>
          <w:szCs w:val="28"/>
        </w:rPr>
        <w:t>（九）制定公司的基本管理制度</w:t>
      </w:r>
      <w:r>
        <w:rPr>
          <w:rFonts w:hint="eastAsia" w:ascii="仿宋_GB2312" w:hAnsi="仿宋_GB2312" w:eastAsia="仿宋_GB2312" w:cs="仿宋_GB2312"/>
          <w:sz w:val="28"/>
          <w:szCs w:val="28"/>
        </w:rPr>
        <w:t>。</w:t>
      </w:r>
    </w:p>
    <w:p>
      <w:pPr>
        <w:spacing w:line="48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spacing w:val="-2"/>
          <w:kern w:val="0"/>
          <w:sz w:val="28"/>
          <w:szCs w:val="28"/>
        </w:rPr>
        <w:t>设经理，由董事聘任或解聘。</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经董事决定，董事可以兼任经理。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widowControl/>
        <w:spacing w:line="480" w:lineRule="exact"/>
        <w:ind w:firstLine="562" w:firstLineChars="200"/>
        <w:jc w:val="left"/>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z w:val="28"/>
          <w:szCs w:val="28"/>
        </w:rPr>
        <w:t>第四十四条</w:t>
      </w:r>
      <w:r>
        <w:rPr>
          <w:rFonts w:hint="eastAsia" w:ascii="仿宋_GB2312" w:hAnsi="仿宋_GB2312" w:eastAsia="仿宋_GB2312" w:cs="仿宋_GB2312"/>
          <w:sz w:val="28"/>
          <w:szCs w:val="28"/>
        </w:rPr>
        <w:t xml:space="preserve"> 公司设监事1人。</w:t>
      </w:r>
      <w:r>
        <w:rPr>
          <w:rFonts w:hint="eastAsia" w:ascii="仿宋_GB2312" w:hAnsi="仿宋_GB2312" w:eastAsia="仿宋_GB2312" w:cs="仿宋_GB2312"/>
          <w:color w:val="000000"/>
          <w:spacing w:val="-2"/>
          <w:kern w:val="0"/>
          <w:sz w:val="28"/>
          <w:szCs w:val="28"/>
        </w:rPr>
        <w:t>由股东会选举产生。</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（四）提议召开临时股东会会议，在董事不履行本章程规定的召集和主持股东会会议职责时召集和主持股东会会议；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（五）向股东会会议提出提案；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（六）依照《公司法》第一百八十九条的规定，对董事、高级管理人员提起诉讼。</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（注：可以约定监事的其他职权，并记载于本条。）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80" w:lineRule="exact"/>
        <w:jc w:val="center"/>
        <w:rPr>
          <w:rFonts w:hint="eastAsia" w:ascii="黑体" w:hAnsi="黑体" w:eastAsia="黑体" w:cs="黑体"/>
          <w:sz w:val="28"/>
          <w:szCs w:val="28"/>
        </w:rPr>
      </w:pPr>
    </w:p>
    <w:p>
      <w:pPr>
        <w:spacing w:line="480" w:lineRule="exact"/>
        <w:jc w:val="center"/>
        <w:rPr>
          <w:rFonts w:hint="eastAsia" w:ascii="黑体" w:hAnsi="黑体" w:eastAsia="黑体"/>
          <w:b/>
          <w:kern w:val="0"/>
          <w:sz w:val="28"/>
          <w:szCs w:val="28"/>
        </w:rPr>
      </w:pPr>
      <w:r>
        <w:rPr>
          <w:rFonts w:hint="eastAsia" w:ascii="黑体" w:hAnsi="黑体" w:eastAsia="黑体"/>
          <w:b/>
          <w:kern w:val="0"/>
          <w:sz w:val="28"/>
          <w:szCs w:val="28"/>
        </w:rPr>
        <w:t>第八章    公司董事、监事、高级管理人员资格和义务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jc w:val="center"/>
        <w:rPr>
          <w:rFonts w:hint="eastAsia" w:ascii="黑体" w:hAnsi="黑体" w:eastAsia="黑体" w:cs="黑体"/>
          <w:b/>
          <w:kern w:val="0"/>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kern w:val="0"/>
          <w:sz w:val="28"/>
          <w:szCs w:val="28"/>
        </w:rPr>
        <w:t>九</w:t>
      </w:r>
      <w:r>
        <w:rPr>
          <w:rFonts w:hint="eastAsia" w:ascii="黑体" w:hAnsi="黑体" w:eastAsia="黑体" w:cs="黑体"/>
          <w:b/>
          <w:kern w:val="0"/>
          <w:sz w:val="28"/>
          <w:szCs w:val="28"/>
        </w:rPr>
        <w:t>章  公司的财务、会计</w:t>
      </w:r>
    </w:p>
    <w:p>
      <w:pPr>
        <w:spacing w:line="480" w:lineRule="exact"/>
        <w:ind w:firstLine="562" w:firstLineChars="200"/>
        <w:rPr>
          <w:rFonts w:hint="eastAsia" w:ascii="仿宋_GB2312" w:hAnsi="仿宋_GB2312" w:eastAsia="仿宋_GB2312"/>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w:t>
      </w:r>
      <w:r>
        <w:rPr>
          <w:rFonts w:ascii="仿宋_GB2312" w:hAnsi="仿宋_GB2312" w:eastAsia="仿宋_GB2312"/>
          <w:sz w:val="28"/>
          <w:szCs w:val="28"/>
        </w:rPr>
        <w:t>公司的财务会计报告应当在召开股东会年会的二十日前置备于本公司，供股东查阅</w:t>
      </w:r>
      <w:r>
        <w:rPr>
          <w:rFonts w:hint="eastAsia" w:ascii="仿宋_GB2312" w:hAnsi="仿宋_GB2312" w:eastAsia="仿宋_GB2312"/>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w:t>
      </w:r>
      <w:r>
        <w:rPr>
          <w:rFonts w:ascii="仿宋_GB2312" w:hAnsi="仿宋_GB2312" w:eastAsia="仿宋_GB2312"/>
          <w:sz w:val="28"/>
          <w:szCs w:val="28"/>
        </w:rPr>
        <w:t>按照</w:t>
      </w:r>
      <w:r>
        <w:rPr>
          <w:rFonts w:ascii="仿宋_GB2312" w:hAnsi="仿宋_GB2312" w:eastAsia="仿宋_GB2312"/>
          <w:sz w:val="28"/>
          <w:szCs w:val="28"/>
          <w:u w:val="single"/>
        </w:rPr>
        <w:t>股东所持有的股份比例</w:t>
      </w:r>
      <w:r>
        <w:rPr>
          <w:rFonts w:ascii="仿宋_GB2312" w:hAnsi="仿宋_GB2312" w:eastAsia="仿宋_GB2312"/>
          <w:sz w:val="28"/>
          <w:szCs w:val="28"/>
        </w:rPr>
        <w:t>分配利润</w:t>
      </w:r>
      <w:r>
        <w:rPr>
          <w:rFonts w:hint="eastAsia" w:ascii="仿宋_GB2312" w:hAnsi="仿宋_GB2312" w:eastAsia="仿宋_GB2312" w:cs="仿宋_GB2312"/>
          <w:spacing w:val="-2"/>
          <w:kern w:val="0"/>
          <w:sz w:val="28"/>
          <w:szCs w:val="28"/>
        </w:rPr>
        <w:t>。公司持有的本公司股份不得分配利润。</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（注：可以约定按其他方式分取红利，并修改本条。）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宋体" w:hAnsi="宋体"/>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（注：公司聘用、解聘承办公司审计业务的会计师事务所，可约定由董事或监事决定，并修改本条。）</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第十章  解散和清算</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w:t>
      </w:r>
      <w:r>
        <w:rPr>
          <w:rFonts w:ascii="仿宋_GB2312" w:hAnsi="仿宋_GB2312" w:eastAsia="仿宋_GB2312"/>
          <w:sz w:val="28"/>
          <w:szCs w:val="28"/>
        </w:rPr>
        <w:t>按照股东持有的股份比例分配。</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hint="eastAsia"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80" w:lineRule="exact"/>
        <w:ind w:firstLine="562"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公司股东会、董事、监事召开会议和表决可以采用电子通信方式。</w:t>
      </w:r>
    </w:p>
    <w:p>
      <w:pPr>
        <w:spacing w:line="480" w:lineRule="exact"/>
        <w:ind w:firstLine="562" w:firstLineChars="200"/>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bCs/>
          <w:kern w:val="0"/>
          <w:sz w:val="28"/>
          <w:szCs w:val="28"/>
        </w:rPr>
        <w:t xml:space="preserve"> 公司、股东会、董事、监事的公告，应在报纸或者国家企业信用信息公示系统等途径发布。</w:t>
      </w:r>
    </w:p>
    <w:p>
      <w:pPr>
        <w:spacing w:line="480" w:lineRule="exact"/>
        <w:ind w:firstLine="55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jc w:val="center"/>
        <w:rPr>
          <w:rFonts w:hint="eastAsia" w:ascii="黑体" w:hAnsi="黑体" w:eastAsia="黑体" w:cs="黑体"/>
          <w:b/>
          <w:bCs/>
          <w:sz w:val="28"/>
          <w:szCs w:val="28"/>
        </w:rPr>
      </w:pPr>
      <w:r>
        <w:rPr>
          <w:rFonts w:hint="eastAsia" w:ascii="黑体" w:hAnsi="黑体" w:eastAsia="黑体" w:cs="黑体"/>
          <w:b/>
          <w:bCs/>
          <w:sz w:val="28"/>
          <w:szCs w:val="28"/>
        </w:rPr>
        <w:t>第十二章  公司的其他规定</w:t>
      </w:r>
    </w:p>
    <w:p>
      <w:pPr>
        <w:spacing w:line="480" w:lineRule="exact"/>
        <w:ind w:firstLine="562" w:firstLineChars="200"/>
        <w:rPr>
          <w:rFonts w:hint="eastAsia"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spacing w:val="-2"/>
          <w:kern w:val="0"/>
          <w:sz w:val="28"/>
          <w:szCs w:val="28"/>
        </w:rPr>
        <w:t>应当经股东会决议。</w:t>
      </w:r>
    </w:p>
    <w:p>
      <w:pPr>
        <w:spacing w:line="480" w:lineRule="exact"/>
        <w:ind w:firstLine="55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第七十五条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80" w:lineRule="exact"/>
        <w:ind w:firstLine="562" w:firstLineChars="2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年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日订立。</w:t>
      </w:r>
    </w:p>
    <w:p>
      <w:pPr>
        <w:spacing w:line="480" w:lineRule="exact"/>
        <w:ind w:firstLine="630"/>
        <w:rPr>
          <w:rFonts w:hint="eastAsia" w:ascii="宋体" w:hAnsi="宋体"/>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宋体" w:hAnsi="宋体"/>
          <w:color w:val="FF0000"/>
          <w:spacing w:val="-2"/>
          <w:kern w:val="0"/>
          <w:sz w:val="28"/>
          <w:szCs w:val="28"/>
          <w:u w:val="single"/>
        </w:rPr>
        <w:t xml:space="preserve">            </w:t>
      </w:r>
    </w:p>
    <w:p>
      <w:pPr>
        <w:spacing w:line="480" w:lineRule="exact"/>
        <w:rPr>
          <w:rFonts w:hint="eastAsia" w:ascii="仿宋_GB2312" w:hAnsi="仿宋_GB2312" w:eastAsia="仿宋_GB2312" w:cs="仿宋_GB2312"/>
          <w:sz w:val="28"/>
          <w:szCs w:val="28"/>
        </w:rPr>
      </w:pPr>
      <w:r>
        <w:rPr>
          <w:rFonts w:ascii="宋体" w:hAnsi="宋体"/>
          <w:color w:val="FF0000"/>
          <w:spacing w:val="-2"/>
          <w:kern w:val="0"/>
          <w:sz w:val="28"/>
          <w:szCs w:val="28"/>
          <w:u w:val="single"/>
        </w:rPr>
        <w:t xml:space="preserve">    </w:t>
      </w:r>
      <w:r>
        <w:rPr>
          <w:rFonts w:hint="eastAsia" w:ascii="宋体" w:hAnsi="宋体"/>
          <w:color w:val="FF0000"/>
          <w:spacing w:val="-2"/>
          <w:kern w:val="0"/>
          <w:sz w:val="28"/>
          <w:szCs w:val="28"/>
          <w:u w:val="single"/>
        </w:rPr>
        <w:t xml:space="preserve"> </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宋体" w:hAnsi="宋体"/>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hint="eastAsia" w:ascii="仿宋_GB2312" w:hAnsi="仿宋_GB2312" w:eastAsia="仿宋_GB2312" w:cs="仿宋_GB2312"/>
          <w:color w:val="000000"/>
          <w:spacing w:val="-2"/>
          <w:kern w:val="0"/>
          <w:sz w:val="28"/>
          <w:szCs w:val="28"/>
        </w:rPr>
      </w:pPr>
    </w:p>
    <w:p>
      <w:pPr>
        <w:spacing w:line="480" w:lineRule="exact"/>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spacing w:val="-2"/>
          <w:kern w:val="0"/>
          <w:sz w:val="28"/>
          <w:szCs w:val="28"/>
        </w:rPr>
        <w:t>：</w:t>
      </w:r>
    </w:p>
    <w:p>
      <w:pPr>
        <w:spacing w:line="480" w:lineRule="exact"/>
        <w:rPr>
          <w:rFonts w:hint="eastAsia" w:ascii="仿宋_GB2312" w:hAnsi="仿宋_GB2312" w:eastAsia="仿宋_GB2312" w:cs="仿宋_GB2312"/>
          <w:color w:val="000000"/>
          <w:kern w:val="0"/>
          <w:sz w:val="28"/>
          <w:szCs w:val="28"/>
        </w:rPr>
      </w:pPr>
    </w:p>
    <w:p>
      <w:pPr>
        <w:spacing w:line="480" w:lineRule="exac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000000"/>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hint="eastAsia" w:ascii="仿宋_GB2312" w:hAnsi="仿宋_GB2312" w:eastAsia="仿宋_GB2312" w:cs="仿宋_GB2312"/>
          <w:color w:val="FF0000"/>
          <w:kern w:val="0"/>
          <w:sz w:val="28"/>
          <w:szCs w:val="28"/>
        </w:rPr>
      </w:pPr>
    </w:p>
    <w:p>
      <w:pPr>
        <w:spacing w:line="480" w:lineRule="exact"/>
        <w:ind w:firstLine="5040" w:firstLineChars="1800"/>
        <w:rPr>
          <w:rFonts w:hint="eastAsia"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8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spacing w:line="490" w:lineRule="exact"/>
        <w:ind w:firstLine="4968" w:firstLineChars="1800"/>
        <w:rPr>
          <w:rFonts w:hint="eastAsia" w:ascii="仿宋_GB2312" w:hAnsi="仿宋_GB2312" w:eastAsia="仿宋_GB2312" w:cs="仿宋_GB2312"/>
          <w:color w:val="000000"/>
          <w:spacing w:val="-2"/>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eastAsia="仿宋_GB2312" w:cs="仿宋_GB2312"/>
          <w:color w:val="000000"/>
        </w:rPr>
      </w:pPr>
      <w:r>
        <w:rPr>
          <w:rFonts w:hint="eastAsia" w:ascii="仿宋_GB2312" w:hAnsi="仿宋_GB2312" w:eastAsia="仿宋_GB2312" w:cs="仿宋_GB2312"/>
          <w:b/>
          <w:bCs/>
          <w:color w:val="FF0000"/>
        </w:rPr>
        <w:t>备注：</w:t>
      </w:r>
      <w:r>
        <w:rPr>
          <w:rFonts w:hint="eastAsia" w:ascii="仿宋_GB2312" w:hAnsi="Calibri" w:eastAsia="仿宋_GB2312" w:cs="仿宋_GB2312"/>
          <w:color w:val="000000"/>
          <w:lang w:bidi="ar"/>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lang w:bidi="ar"/>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hint="eastAsia" w:ascii="仿宋_GB2312" w:hAnsi="Calibri" w:eastAsia="仿宋_GB2312" w:cs="仿宋_GB2312"/>
          <w:color w:val="000000"/>
          <w:lang w:bidi="ar"/>
        </w:rPr>
      </w:pPr>
      <w:r>
        <w:rPr>
          <w:rFonts w:hint="eastAsia" w:ascii="仿宋_GB2312" w:hAnsi="Calibri" w:eastAsia="仿宋_GB2312" w:cs="仿宋_GB2312"/>
          <w:color w:val="000000"/>
          <w:lang w:bidi="ar"/>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hint="eastAsia" w:ascii="仿宋_GB2312" w:hAnsi="仿宋_GB2312" w:eastAsia="仿宋_GB2312" w:cs="仿宋_GB2312"/>
          <w:color w:val="000000"/>
        </w:rPr>
      </w:pPr>
    </w:p>
    <w:p>
      <w:pPr>
        <w:pBdr>
          <w:top w:val="single" w:color="000000" w:sz="4" w:space="0"/>
          <w:left w:val="single" w:color="000000" w:sz="4" w:space="0"/>
          <w:bottom w:val="single" w:color="000000" w:sz="4" w:space="0"/>
          <w:right w:val="single" w:color="000000" w:sz="4" w:space="0"/>
        </w:pBdr>
        <w:spacing w:line="480" w:lineRule="exact"/>
        <w:ind w:right="561"/>
        <w:rPr>
          <w:rFonts w:hint="eastAsia" w:ascii="仿宋_GB2312" w:hAnsi="仿宋_GB2312" w:eastAsia="仿宋_GB2312" w:cs="仿宋_GB2312"/>
        </w:rPr>
      </w:pPr>
      <w:r>
        <w:rPr>
          <w:rFonts w:hint="eastAsia" w:ascii="仿宋_GB2312" w:hAnsi="仿宋_GB2312" w:eastAsia="仿宋_GB2312" w:cs="仿宋_GB2312"/>
          <w:b/>
          <w:bCs/>
          <w:color w:val="FF0000"/>
        </w:rPr>
        <w:t>签署说明：</w:t>
      </w:r>
      <w:r>
        <w:rPr>
          <w:rFonts w:hint="eastAsia" w:ascii="仿宋_GB2312" w:hAnsi="仿宋_GB2312" w:eastAsia="仿宋_GB2312" w:cs="仿宋_GB2312"/>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b/>
          <w:bCs/>
          <w:i/>
          <w:color w:val="00B0F0"/>
          <w:shd w:val="clear" w:color="FFFFFF" w:fill="D9D9D9"/>
        </w:rPr>
      </w:pPr>
      <w:r>
        <w:rPr>
          <w:rFonts w:hint="eastAsia" w:ascii="仿宋_GB2312" w:hAnsi="仿宋_GB2312" w:eastAsia="仿宋_GB2312" w:cs="仿宋_GB2312"/>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hint="eastAsia" w:ascii="仿宋_GB2312" w:hAnsi="仿宋_GB2312" w:eastAsia="仿宋_GB2312" w:cs="仿宋_GB2312"/>
        </w:rPr>
      </w:pPr>
      <w:r>
        <w:rPr>
          <w:rFonts w:hint="eastAsia" w:ascii="仿宋_GB2312" w:hAnsi="仿宋_GB2312" w:eastAsia="仿宋_GB2312" w:cs="仿宋_GB2312"/>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hint="eastAsia" w:ascii="仿宋_GB2312" w:hAnsi="仿宋_GB2312" w:eastAsia="仿宋_GB2312" w:cs="仿宋_GB2312"/>
        </w:rPr>
      </w:pPr>
      <w:r>
        <w:rPr>
          <w:rFonts w:hint="eastAsia" w:ascii="仿宋_GB2312" w:hAnsi="仿宋_GB2312" w:eastAsia="仿宋_GB2312" w:cs="仿宋_GB2312"/>
        </w:rPr>
        <w:t>签字。</w:t>
      </w:r>
    </w:p>
    <w:p>
      <w:pPr>
        <w:rPr>
          <w:rFonts w:hint="eastAsia" w:ascii="仿宋_GB2312" w:hAnsi="仿宋_GB2312" w:eastAsia="仿宋_GB2312" w:cs="仿宋_GB2312"/>
          <w:color w:val="FF0000"/>
          <w:kern w:val="0"/>
          <w:sz w:val="32"/>
          <w:szCs w:val="32"/>
        </w:rPr>
      </w:pPr>
    </w:p>
    <w:p>
      <w:pPr>
        <w:ind w:firstLine="2940" w:firstLineChars="1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B41D0C"/>
    <w:multiLevelType w:val="singleLevel"/>
    <w:tmpl w:val="36B41D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77FDE396"/>
    <w:rsid w:val="000C350E"/>
    <w:rsid w:val="001A722D"/>
    <w:rsid w:val="003305B2"/>
    <w:rsid w:val="00335FE6"/>
    <w:rsid w:val="00417B30"/>
    <w:rsid w:val="00452A3A"/>
    <w:rsid w:val="00472D5C"/>
    <w:rsid w:val="00575B0D"/>
    <w:rsid w:val="00760E68"/>
    <w:rsid w:val="007B3362"/>
    <w:rsid w:val="009D292C"/>
    <w:rsid w:val="00B24250"/>
    <w:rsid w:val="00E52E75"/>
    <w:rsid w:val="00EC1330"/>
    <w:rsid w:val="094F0AAA"/>
    <w:rsid w:val="0BE59F60"/>
    <w:rsid w:val="0FF5557A"/>
    <w:rsid w:val="11CC605A"/>
    <w:rsid w:val="12DA1598"/>
    <w:rsid w:val="15DAEFB3"/>
    <w:rsid w:val="1787D03C"/>
    <w:rsid w:val="18064498"/>
    <w:rsid w:val="1881235C"/>
    <w:rsid w:val="1DDB4401"/>
    <w:rsid w:val="1FBEDB0E"/>
    <w:rsid w:val="24516D13"/>
    <w:rsid w:val="2A3532CD"/>
    <w:rsid w:val="2BAFF0AA"/>
    <w:rsid w:val="2BF58BB5"/>
    <w:rsid w:val="2C403919"/>
    <w:rsid w:val="2ED33556"/>
    <w:rsid w:val="2EFF62AC"/>
    <w:rsid w:val="32FF5D3B"/>
    <w:rsid w:val="33F64C99"/>
    <w:rsid w:val="34E1D299"/>
    <w:rsid w:val="37EC4C38"/>
    <w:rsid w:val="3AAFCD94"/>
    <w:rsid w:val="3BAB3DA9"/>
    <w:rsid w:val="3BE91E91"/>
    <w:rsid w:val="3C7DD7F4"/>
    <w:rsid w:val="3C7FE92F"/>
    <w:rsid w:val="3F274445"/>
    <w:rsid w:val="3FF7C292"/>
    <w:rsid w:val="42994B5F"/>
    <w:rsid w:val="49F98C12"/>
    <w:rsid w:val="4BBC194A"/>
    <w:rsid w:val="4BFE914F"/>
    <w:rsid w:val="537FAD9C"/>
    <w:rsid w:val="579E68D0"/>
    <w:rsid w:val="5A67FBB9"/>
    <w:rsid w:val="5BB743FE"/>
    <w:rsid w:val="5DF7ED2E"/>
    <w:rsid w:val="5E5EE6AE"/>
    <w:rsid w:val="5EBD679C"/>
    <w:rsid w:val="5EDF9913"/>
    <w:rsid w:val="5EFB39F7"/>
    <w:rsid w:val="5EFBB3FF"/>
    <w:rsid w:val="5F7F4857"/>
    <w:rsid w:val="5F7F53D3"/>
    <w:rsid w:val="5F9DC7E9"/>
    <w:rsid w:val="5FB47F0C"/>
    <w:rsid w:val="5FBA0CE4"/>
    <w:rsid w:val="5FCFA529"/>
    <w:rsid w:val="5FFC2031"/>
    <w:rsid w:val="5FFF918E"/>
    <w:rsid w:val="65FFFB0B"/>
    <w:rsid w:val="67EFC103"/>
    <w:rsid w:val="67F67E3E"/>
    <w:rsid w:val="67FAD5FF"/>
    <w:rsid w:val="67FF196A"/>
    <w:rsid w:val="6DDB9C37"/>
    <w:rsid w:val="6FFB84E0"/>
    <w:rsid w:val="709962F0"/>
    <w:rsid w:val="70DFDB41"/>
    <w:rsid w:val="739BD234"/>
    <w:rsid w:val="75B75DAA"/>
    <w:rsid w:val="76F97189"/>
    <w:rsid w:val="771FFC82"/>
    <w:rsid w:val="777F48A4"/>
    <w:rsid w:val="77DF70EF"/>
    <w:rsid w:val="77FDE396"/>
    <w:rsid w:val="7B6D4FE4"/>
    <w:rsid w:val="7B8CDECB"/>
    <w:rsid w:val="7BA722EC"/>
    <w:rsid w:val="7BDF4EC1"/>
    <w:rsid w:val="7C552333"/>
    <w:rsid w:val="7DC785C9"/>
    <w:rsid w:val="7DFF852C"/>
    <w:rsid w:val="7E7E1C62"/>
    <w:rsid w:val="7EDF51A4"/>
    <w:rsid w:val="7EFF2980"/>
    <w:rsid w:val="7F3F219D"/>
    <w:rsid w:val="7F3F5A3A"/>
    <w:rsid w:val="7FB796AD"/>
    <w:rsid w:val="7FEA6E89"/>
    <w:rsid w:val="7FF7CEBA"/>
    <w:rsid w:val="7FFEE56A"/>
    <w:rsid w:val="835A58E2"/>
    <w:rsid w:val="92BCDAC9"/>
    <w:rsid w:val="9BDBF11C"/>
    <w:rsid w:val="ABCE39D9"/>
    <w:rsid w:val="ABFCFE4E"/>
    <w:rsid w:val="AF7F13BA"/>
    <w:rsid w:val="BBB3609A"/>
    <w:rsid w:val="BDBD32BA"/>
    <w:rsid w:val="BE5F472C"/>
    <w:rsid w:val="BE7F496D"/>
    <w:rsid w:val="BFEB4CC9"/>
    <w:rsid w:val="BFEF2DFA"/>
    <w:rsid w:val="BFFF6D88"/>
    <w:rsid w:val="BFFFD044"/>
    <w:rsid w:val="BFFFE76A"/>
    <w:rsid w:val="C37D6C17"/>
    <w:rsid w:val="CFF118E0"/>
    <w:rsid w:val="D6770E82"/>
    <w:rsid w:val="D6CFC6DE"/>
    <w:rsid w:val="D7FEC311"/>
    <w:rsid w:val="DEFEE16B"/>
    <w:rsid w:val="DF3E637F"/>
    <w:rsid w:val="DFB7574C"/>
    <w:rsid w:val="DFBCDA80"/>
    <w:rsid w:val="DFBF63D3"/>
    <w:rsid w:val="E3F743D4"/>
    <w:rsid w:val="E7FFCFE3"/>
    <w:rsid w:val="E8EEC667"/>
    <w:rsid w:val="EEBF1F90"/>
    <w:rsid w:val="EF9F0D53"/>
    <w:rsid w:val="EFBEE166"/>
    <w:rsid w:val="EFFF65AC"/>
    <w:rsid w:val="F37EFA19"/>
    <w:rsid w:val="F3D80BFE"/>
    <w:rsid w:val="F5D79942"/>
    <w:rsid w:val="F5DF16E9"/>
    <w:rsid w:val="F66FDDBE"/>
    <w:rsid w:val="F6F52CBE"/>
    <w:rsid w:val="F6FBD9B2"/>
    <w:rsid w:val="F7CB429D"/>
    <w:rsid w:val="FABE25DE"/>
    <w:rsid w:val="FB7B2E7A"/>
    <w:rsid w:val="FD27DC3F"/>
    <w:rsid w:val="FD63F127"/>
    <w:rsid w:val="FD7AB26F"/>
    <w:rsid w:val="FE95B4B0"/>
    <w:rsid w:val="FEBBD469"/>
    <w:rsid w:val="FEBC3946"/>
    <w:rsid w:val="FEBF2588"/>
    <w:rsid w:val="FEFCD7A5"/>
    <w:rsid w:val="FF3B37D2"/>
    <w:rsid w:val="FF3E705A"/>
    <w:rsid w:val="FF4F445A"/>
    <w:rsid w:val="FF7FABA7"/>
    <w:rsid w:val="FFAA5F6A"/>
    <w:rsid w:val="FFAEEA9D"/>
    <w:rsid w:val="FFCF5EC3"/>
    <w:rsid w:val="FFCFF0CF"/>
    <w:rsid w:val="FFF705E9"/>
    <w:rsid w:val="FFF7FDB0"/>
    <w:rsid w:val="FFFC6111"/>
    <w:rsid w:val="FFFCB3BB"/>
    <w:rsid w:val="FFFCCE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styleId="9">
    <w:name w:val="annotation reference"/>
    <w:basedOn w:val="7"/>
    <w:semiHidden/>
    <w:qFormat/>
    <w:uiPriority w:val="99"/>
    <w:rPr>
      <w:sz w:val="21"/>
      <w:szCs w:val="21"/>
    </w:rPr>
  </w:style>
  <w:style w:type="paragraph" w:customStyle="1" w:styleId="10">
    <w:name w:val="1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2">
    <w:name w:val="页眉 Char"/>
    <w:basedOn w:val="7"/>
    <w:link w:val="5"/>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1697</Words>
  <Characters>9678</Characters>
  <Lines>80</Lines>
  <Paragraphs>22</Paragraphs>
  <TotalTime>0</TotalTime>
  <ScaleCrop>false</ScaleCrop>
  <LinksUpToDate>false</LinksUpToDate>
  <CharactersWithSpaces>11353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2024-07-20T14:44:00Z</dcterms:created>
  <dc:creator>admin1</dc:creator>
  <cp:lastModifiedBy>user</cp:lastModifiedBy>
  <dcterms:modified xsi:type="dcterms:W3CDTF">2025-08-06T11:18:51Z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3A3C0C1EB5AAAFB41E0AA7669DCB38F4</vt:lpwstr>
  </property>
</Properties>
</file>