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A9E1">
      <w:pPr>
        <w:spacing w:line="400" w:lineRule="exact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BE58556">
      <w:pPr>
        <w:adjustRightInd w:val="0"/>
        <w:snapToGrid w:val="0"/>
        <w:spacing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市评职称申报流程</w:t>
      </w:r>
      <w:bookmarkStart w:id="0" w:name="_GoBack"/>
      <w:bookmarkEnd w:id="0"/>
    </w:p>
    <w:p w14:paraId="5EBB03E3"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 w14:paraId="0CE8AC80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07CEF262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0F8BBD0F"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）在搜索栏输入“职称评审申请”或“初次职称考核认定申请”选择对应的事项并根据系统指引进行网上申报。</w:t>
      </w:r>
    </w:p>
    <w:p w14:paraId="652FD203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 w14:paraId="0DB160D4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 w14:paraId="36E11C0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444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A1F9">
      <w:pPr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 w14:paraId="33A68A49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0160" b="1460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8946">
      <w:pPr>
        <w:numPr>
          <w:ilvl w:val="0"/>
          <w:numId w:val="2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 w14:paraId="17D7E35C">
      <w:pPr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 w14:paraId="7F40C93F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952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E445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6D786D87">
      <w:pPr>
        <w:numPr>
          <w:ilvl w:val="0"/>
          <w:numId w:val="3"/>
        </w:numPr>
        <w:ind w:left="48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“职称评审申请”或“初次职称考核认定申请”。</w:t>
      </w:r>
    </w:p>
    <w:p w14:paraId="5CD5342C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0" b="1905"/>
            <wp:docPr id="8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6B11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7780" b="5715"/>
            <wp:docPr id="9" name="图片 5" descr="截图_选择区域_20251222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9D43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113AC2E3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（三）选择对应的事项。</w:t>
      </w:r>
    </w:p>
    <w:p w14:paraId="5FF3D2AB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45660" cy="2364740"/>
            <wp:effectExtent l="0" t="0" r="2540" b="16510"/>
            <wp:docPr id="11" name="图片 6" descr="截图_选择区域_2025122215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截图_选择区域_202512221538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9833">
      <w:pPr>
        <w:numPr>
          <w:ilvl w:val="0"/>
          <w:numId w:val="3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952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40B7">
      <w:pPr>
        <w:numPr>
          <w:ilvl w:val="0"/>
          <w:numId w:val="0"/>
        </w:numPr>
        <w:ind w:left="48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 w14:paraId="2F969F81"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 w14:paraId="63F7F371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、职称评审委员会办公室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或职称评审委员会办公室开具缴费单。</w:t>
      </w:r>
    </w:p>
    <w:p w14:paraId="41064400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61094AA2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 w14:paraId="25DAE501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3DC0927A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内把申报材料递交到选定的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，同时向职称申报点出示缴费凭证。</w:t>
      </w:r>
    </w:p>
    <w:p w14:paraId="2306F900"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0E6BA2D0"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 w14:paraId="18E08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4C3F"/>
    <w:rsid w:val="52BA459F"/>
    <w:rsid w:val="5BC6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961</Characters>
  <Lines>0</Lines>
  <Paragraphs>0</Paragraphs>
  <TotalTime>1</TotalTime>
  <ScaleCrop>false</ScaleCrop>
  <LinksUpToDate>false</LinksUpToDate>
  <CharactersWithSpaces>962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2026-01-15T03:00:00Z</dcterms:created>
  <dc:creator>小娟</dc:creator>
  <cp:lastModifiedBy>Elsa</cp:lastModifiedBy>
  <dcterms:modified xsi:type="dcterms:W3CDTF">2026-01-28T01:52:26Z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eyJoZGlkIjoiMzkxYmRiYWIyYTZiMmVkMmRkZjAwYmQ4MTc5Nzk2MzQiLCJ1c2VySWQiOiI3OTAwMjUxNjMifQ==</vt:lpwstr>
  </property>
  <property fmtid="{D5CDD505-2E9C-101B-9397-08002B2CF9AE}" pid="4" name="ICV">
    <vt:lpwstr>2C6F1A25D35B474AA610E4C3181506A9_12</vt:lpwstr>
  </property>
</Properties>
</file>