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0A91867">
      <w:pPr>
        <w:keepNext w:val="0"/>
        <w:keepLines w:val="0"/>
        <w:pageBreakBefore w:val="0"/>
        <w:kinsoku/>
        <w:wordWrap/>
        <w:overflowPunct/>
        <w:topLinePunct w:val="0"/>
        <w:autoSpaceDN/>
        <w:bidi w:val="0"/>
        <w:adjustRightInd/>
        <w:snapToGrid w:val="0"/>
        <w:spacing w:line="560" w:lineRule="exact"/>
        <w:jc w:val="center"/>
        <w:textAlignment w:val="auto"/>
        <w:rPr>
          <w:rFonts w:hint="eastAsia" w:ascii="方正小标宋简体" w:hAnsi="方正小标宋简体" w:eastAsia="方正小标宋简体" w:cs="方正小标宋简体"/>
          <w:color w:val="auto"/>
          <w:sz w:val="44"/>
          <w:szCs w:val="44"/>
          <w:highlight w:val="none"/>
        </w:rPr>
      </w:pPr>
      <w:r>
        <w:rPr>
          <w:rFonts w:hint="eastAsia" w:ascii="方正小标宋简体" w:hAnsi="方正小标宋简体" w:eastAsia="方正小标宋简体" w:cs="方正小标宋简体"/>
          <w:color w:val="auto"/>
          <w:sz w:val="44"/>
          <w:szCs w:val="44"/>
          <w:highlight w:val="none"/>
          <w:lang w:val="en-US" w:eastAsia="zh-CN"/>
        </w:rPr>
        <w:t>东莞市实木地板产品质量监</w:t>
      </w:r>
      <w:r>
        <w:rPr>
          <w:rFonts w:hint="eastAsia" w:ascii="方正小标宋简体" w:hAnsi="方正小标宋简体" w:eastAsia="方正小标宋简体" w:cs="方正小标宋简体"/>
          <w:color w:val="auto"/>
          <w:sz w:val="44"/>
          <w:szCs w:val="44"/>
          <w:highlight w:val="none"/>
        </w:rPr>
        <w:t>督抽查实施细则</w:t>
      </w:r>
    </w:p>
    <w:p w14:paraId="184FF8E1">
      <w:pPr>
        <w:keepNext w:val="0"/>
        <w:keepLines w:val="0"/>
        <w:pageBreakBefore w:val="0"/>
        <w:kinsoku/>
        <w:wordWrap/>
        <w:overflowPunct/>
        <w:topLinePunct w:val="0"/>
        <w:autoSpaceDN/>
        <w:bidi w:val="0"/>
        <w:adjustRightInd/>
        <w:spacing w:line="560" w:lineRule="exact"/>
        <w:jc w:val="center"/>
        <w:textAlignment w:val="auto"/>
        <w:rPr>
          <w:rFonts w:hint="eastAsia" w:ascii="Times New Roman" w:hAnsi="Times New Roman" w:eastAsia="楷体_GB2312" w:cs="Times New Roman"/>
          <w:color w:val="auto"/>
          <w:sz w:val="32"/>
          <w:szCs w:val="32"/>
          <w:highlight w:val="none"/>
        </w:rPr>
      </w:pPr>
      <w:r>
        <w:rPr>
          <w:rFonts w:hint="eastAsia" w:ascii="Times New Roman" w:hAnsi="Times New Roman" w:eastAsia="楷体_GB2312" w:cs="Times New Roman"/>
          <w:color w:val="auto"/>
          <w:sz w:val="32"/>
          <w:szCs w:val="32"/>
          <w:highlight w:val="none"/>
        </w:rPr>
        <w:t>（202</w:t>
      </w:r>
      <w:r>
        <w:rPr>
          <w:rFonts w:hint="eastAsia" w:ascii="Times New Roman" w:hAnsi="Times New Roman" w:eastAsia="楷体_GB2312" w:cs="Times New Roman"/>
          <w:color w:val="auto"/>
          <w:sz w:val="32"/>
          <w:szCs w:val="32"/>
          <w:highlight w:val="none"/>
          <w:lang w:val="en-US" w:eastAsia="zh-CN"/>
        </w:rPr>
        <w:t>6</w:t>
      </w:r>
      <w:r>
        <w:rPr>
          <w:rFonts w:hint="eastAsia" w:ascii="Times New Roman" w:hAnsi="Times New Roman" w:eastAsia="楷体_GB2312" w:cs="Times New Roman"/>
          <w:color w:val="auto"/>
          <w:sz w:val="32"/>
          <w:szCs w:val="32"/>
          <w:highlight w:val="none"/>
        </w:rPr>
        <w:t>年版）</w:t>
      </w:r>
    </w:p>
    <w:p w14:paraId="284C8656">
      <w:pPr>
        <w:keepNext w:val="0"/>
        <w:keepLines w:val="0"/>
        <w:pageBreakBefore w:val="0"/>
        <w:kinsoku/>
        <w:wordWrap/>
        <w:overflowPunct/>
        <w:topLinePunct w:val="0"/>
        <w:autoSpaceDN/>
        <w:bidi w:val="0"/>
        <w:adjustRightInd/>
        <w:snapToGrid w:val="0"/>
        <w:spacing w:line="560" w:lineRule="exact"/>
        <w:ind w:firstLine="359" w:firstLineChars="171"/>
        <w:textAlignment w:val="auto"/>
        <w:rPr>
          <w:szCs w:val="21"/>
        </w:rPr>
      </w:pPr>
    </w:p>
    <w:p w14:paraId="7A37BE63">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1 抽样方法</w:t>
      </w:r>
    </w:p>
    <w:p w14:paraId="283CD11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以随机抽样的方式在被抽样生产者、销售者的待销产品中抽取。</w:t>
      </w:r>
    </w:p>
    <w:p w14:paraId="646E95FF">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随机数一般可使用随机数表等方法产生。</w:t>
      </w:r>
    </w:p>
    <w:p w14:paraId="75D09CF2">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每批次产品抽取样品</w:t>
      </w:r>
      <w:r>
        <w:rPr>
          <w:rFonts w:hint="eastAsia" w:ascii="仿宋_GB2312" w:hAnsi="仿宋_GB2312" w:eastAsia="仿宋_GB2312" w:cs="仿宋_GB2312"/>
          <w:sz w:val="32"/>
          <w:szCs w:val="32"/>
          <w:lang w:val="en-US" w:eastAsia="zh-CN"/>
        </w:rPr>
        <w:t>2组</w:t>
      </w:r>
      <w:r>
        <w:rPr>
          <w:rFonts w:hint="eastAsia" w:ascii="仿宋_GB2312" w:hAnsi="仿宋_GB2312" w:eastAsia="仿宋_GB2312" w:cs="仿宋_GB2312"/>
          <w:sz w:val="32"/>
          <w:szCs w:val="32"/>
        </w:rPr>
        <w:t>，其中1</w:t>
      </w:r>
      <w:r>
        <w:rPr>
          <w:rFonts w:hint="eastAsia" w:ascii="仿宋_GB2312" w:hAnsi="仿宋_GB2312" w:eastAsia="仿宋_GB2312" w:cs="仿宋_GB2312"/>
          <w:sz w:val="32"/>
          <w:szCs w:val="32"/>
          <w:lang w:eastAsia="zh-CN"/>
        </w:rPr>
        <w:t>组</w:t>
      </w:r>
      <w:r>
        <w:rPr>
          <w:rFonts w:hint="eastAsia" w:ascii="仿宋_GB2312" w:hAnsi="仿宋_GB2312" w:eastAsia="仿宋_GB2312" w:cs="仿宋_GB2312"/>
          <w:sz w:val="32"/>
          <w:szCs w:val="32"/>
        </w:rPr>
        <w:t>作为检验样品，1</w:t>
      </w:r>
      <w:r>
        <w:rPr>
          <w:rFonts w:hint="eastAsia" w:ascii="仿宋_GB2312" w:hAnsi="仿宋_GB2312" w:eastAsia="仿宋_GB2312" w:cs="仿宋_GB2312"/>
          <w:sz w:val="32"/>
          <w:szCs w:val="32"/>
          <w:lang w:eastAsia="zh-CN"/>
        </w:rPr>
        <w:t>组</w:t>
      </w:r>
      <w:r>
        <w:rPr>
          <w:rFonts w:hint="eastAsia" w:ascii="仿宋_GB2312" w:hAnsi="仿宋_GB2312" w:eastAsia="仿宋_GB2312" w:cs="仿宋_GB2312"/>
          <w:sz w:val="32"/>
          <w:szCs w:val="32"/>
        </w:rPr>
        <w:t>作为备用样品。</w:t>
      </w:r>
    </w:p>
    <w:p w14:paraId="304C7C33">
      <w:pPr>
        <w:keepNext w:val="0"/>
        <w:keepLines w:val="0"/>
        <w:pageBreakBefore w:val="0"/>
        <w:kinsoku/>
        <w:wordWrap/>
        <w:overflowPunct/>
        <w:topLinePunct w:val="0"/>
        <w:autoSpaceDN/>
        <w:bidi w:val="0"/>
        <w:adjustRightInd/>
        <w:snapToGrid w:val="0"/>
        <w:spacing w:line="560" w:lineRule="exact"/>
        <w:ind w:firstLine="64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具体抽样数量和方法如下：</w:t>
      </w:r>
    </w:p>
    <w:tbl>
      <w:tblPr>
        <w:tblStyle w:val="11"/>
        <w:tblW w:w="91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1"/>
        <w:gridCol w:w="3918"/>
        <w:gridCol w:w="1236"/>
        <w:gridCol w:w="1584"/>
        <w:gridCol w:w="1599"/>
      </w:tblGrid>
      <w:tr w14:paraId="55C80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831" w:type="dxa"/>
            <w:vMerge w:val="restart"/>
            <w:vAlign w:val="center"/>
          </w:tcPr>
          <w:p w14:paraId="0765D891">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序号</w:t>
            </w:r>
          </w:p>
        </w:tc>
        <w:tc>
          <w:tcPr>
            <w:tcW w:w="3918" w:type="dxa"/>
            <w:vMerge w:val="restart"/>
            <w:vAlign w:val="center"/>
          </w:tcPr>
          <w:p w14:paraId="6CE22889">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产品名称</w:t>
            </w:r>
          </w:p>
        </w:tc>
        <w:tc>
          <w:tcPr>
            <w:tcW w:w="2820" w:type="dxa"/>
            <w:gridSpan w:val="2"/>
            <w:vAlign w:val="center"/>
          </w:tcPr>
          <w:p w14:paraId="592BD7D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第1组数量</w:t>
            </w:r>
          </w:p>
        </w:tc>
        <w:tc>
          <w:tcPr>
            <w:tcW w:w="1599" w:type="dxa"/>
            <w:vMerge w:val="restart"/>
            <w:vAlign w:val="center"/>
          </w:tcPr>
          <w:p w14:paraId="7F47AAC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第2组数量</w:t>
            </w:r>
          </w:p>
        </w:tc>
      </w:tr>
      <w:tr w14:paraId="52B35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831" w:type="dxa"/>
            <w:vMerge w:val="continue"/>
            <w:vAlign w:val="center"/>
          </w:tcPr>
          <w:p w14:paraId="2E8DDCB4">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p>
        </w:tc>
        <w:tc>
          <w:tcPr>
            <w:tcW w:w="3918" w:type="dxa"/>
            <w:vMerge w:val="continue"/>
            <w:vAlign w:val="center"/>
          </w:tcPr>
          <w:p w14:paraId="461BD18F">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p>
        </w:tc>
        <w:tc>
          <w:tcPr>
            <w:tcW w:w="1236" w:type="dxa"/>
            <w:vAlign w:val="center"/>
          </w:tcPr>
          <w:p w14:paraId="07C4FAF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初检</w:t>
            </w:r>
          </w:p>
        </w:tc>
        <w:tc>
          <w:tcPr>
            <w:tcW w:w="1584" w:type="dxa"/>
            <w:vAlign w:val="center"/>
          </w:tcPr>
          <w:p w14:paraId="651B527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r>
              <w:rPr>
                <w:rFonts w:hint="eastAsia" w:ascii="宋体" w:hAnsi="宋体" w:eastAsia="宋体" w:cs="宋体"/>
                <w:b w:val="0"/>
                <w:bCs w:val="0"/>
                <w:sz w:val="21"/>
                <w:szCs w:val="21"/>
              </w:rPr>
              <w:t>复验</w:t>
            </w:r>
          </w:p>
        </w:tc>
        <w:tc>
          <w:tcPr>
            <w:tcW w:w="1599" w:type="dxa"/>
            <w:vMerge w:val="continue"/>
            <w:vAlign w:val="center"/>
          </w:tcPr>
          <w:p w14:paraId="0086BF2C">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b w:val="0"/>
                <w:bCs w:val="0"/>
                <w:sz w:val="21"/>
                <w:szCs w:val="21"/>
              </w:rPr>
            </w:pPr>
          </w:p>
        </w:tc>
      </w:tr>
      <w:tr w14:paraId="6F49F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31" w:type="dxa"/>
            <w:vAlign w:val="center"/>
          </w:tcPr>
          <w:p w14:paraId="02EE2682">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lang w:eastAsia="zh-CN"/>
              </w:rPr>
            </w:pPr>
            <w:r>
              <w:rPr>
                <w:rFonts w:hint="eastAsia" w:ascii="宋体" w:hAnsi="宋体" w:eastAsia="宋体" w:cs="宋体"/>
                <w:sz w:val="21"/>
                <w:szCs w:val="21"/>
                <w:lang w:val="en-US" w:eastAsia="zh-CN"/>
              </w:rPr>
              <w:t>1</w:t>
            </w:r>
          </w:p>
        </w:tc>
        <w:tc>
          <w:tcPr>
            <w:tcW w:w="3918" w:type="dxa"/>
            <w:vAlign w:val="center"/>
          </w:tcPr>
          <w:p w14:paraId="37EBD061">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Times New Roman" w:hAnsi="Times New Roman" w:eastAsia="宋体" w:cs="Times New Roman"/>
                <w:sz w:val="21"/>
                <w:szCs w:val="21"/>
              </w:rPr>
              <w:t>实木地板</w:t>
            </w:r>
          </w:p>
        </w:tc>
        <w:tc>
          <w:tcPr>
            <w:tcW w:w="1236" w:type="dxa"/>
            <w:vAlign w:val="center"/>
          </w:tcPr>
          <w:p w14:paraId="2BF81C0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Times New Roman" w:hAnsi="Times New Roman" w:eastAsia="宋体" w:cs="Times New Roman"/>
                <w:sz w:val="21"/>
                <w:szCs w:val="21"/>
              </w:rPr>
              <w:t>0.5m</w:t>
            </w:r>
            <w:r>
              <w:rPr>
                <w:rFonts w:hint="eastAsia" w:ascii="Times New Roman" w:hAnsi="Times New Roman" w:eastAsia="宋体" w:cs="Times New Roman"/>
                <w:sz w:val="21"/>
                <w:szCs w:val="21"/>
                <w:vertAlign w:val="superscript"/>
              </w:rPr>
              <w:t>2</w:t>
            </w:r>
          </w:p>
        </w:tc>
        <w:tc>
          <w:tcPr>
            <w:tcW w:w="1584" w:type="dxa"/>
            <w:vAlign w:val="center"/>
          </w:tcPr>
          <w:p w14:paraId="1B6371B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Times New Roman" w:hAnsi="Times New Roman" w:eastAsia="宋体" w:cs="Times New Roman"/>
                <w:sz w:val="21"/>
                <w:szCs w:val="21"/>
              </w:rPr>
              <w:t>0.5m</w:t>
            </w:r>
            <w:r>
              <w:rPr>
                <w:rFonts w:hint="eastAsia" w:ascii="Times New Roman" w:hAnsi="Times New Roman" w:eastAsia="宋体" w:cs="Times New Roman"/>
                <w:sz w:val="21"/>
                <w:szCs w:val="21"/>
                <w:vertAlign w:val="superscript"/>
              </w:rPr>
              <w:t>2</w:t>
            </w:r>
          </w:p>
        </w:tc>
        <w:tc>
          <w:tcPr>
            <w:tcW w:w="1599" w:type="dxa"/>
            <w:vAlign w:val="center"/>
          </w:tcPr>
          <w:p w14:paraId="135CFEF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Times New Roman" w:hAnsi="Times New Roman" w:eastAsia="宋体" w:cs="Times New Roman"/>
                <w:sz w:val="21"/>
                <w:szCs w:val="21"/>
              </w:rPr>
              <w:t>0.5m</w:t>
            </w:r>
            <w:r>
              <w:rPr>
                <w:rFonts w:hint="eastAsia" w:ascii="Times New Roman" w:hAnsi="Times New Roman" w:eastAsia="宋体" w:cs="Times New Roman"/>
                <w:sz w:val="21"/>
                <w:szCs w:val="21"/>
                <w:vertAlign w:val="superscript"/>
              </w:rPr>
              <w:t>2</w:t>
            </w:r>
          </w:p>
        </w:tc>
      </w:tr>
    </w:tbl>
    <w:p w14:paraId="0F018C2F">
      <w:pPr>
        <w:keepNext w:val="0"/>
        <w:keepLines w:val="0"/>
        <w:pageBreakBefore w:val="0"/>
        <w:kinsoku/>
        <w:wordWrap/>
        <w:overflowPunct/>
        <w:topLinePunct w:val="0"/>
        <w:autoSpaceDN/>
        <w:bidi w:val="0"/>
        <w:adjustRightInd/>
        <w:snapToGrid w:val="0"/>
        <w:spacing w:line="560" w:lineRule="exact"/>
        <w:textAlignment w:val="auto"/>
        <w:rPr>
          <w:rFonts w:hint="eastAsia" w:ascii="黑体" w:hAnsi="黑体" w:eastAsia="黑体" w:cs="黑体"/>
          <w:sz w:val="32"/>
          <w:szCs w:val="32"/>
        </w:rPr>
      </w:pPr>
    </w:p>
    <w:p w14:paraId="43C74D37">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2 检验依据</w:t>
      </w:r>
    </w:p>
    <w:p w14:paraId="37D1BD54">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2.1实木地板</w:t>
      </w:r>
    </w:p>
    <w:tbl>
      <w:tblPr>
        <w:tblStyle w:val="11"/>
        <w:tblW w:w="90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7"/>
        <w:gridCol w:w="4258"/>
        <w:gridCol w:w="3869"/>
      </w:tblGrid>
      <w:tr w14:paraId="744A39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tblHeader/>
          <w:jc w:val="center"/>
        </w:trPr>
        <w:tc>
          <w:tcPr>
            <w:tcW w:w="877" w:type="dxa"/>
            <w:tcBorders>
              <w:top w:val="single" w:color="auto" w:sz="4" w:space="0"/>
              <w:left w:val="single" w:color="auto" w:sz="4" w:space="0"/>
              <w:bottom w:val="single" w:color="auto" w:sz="4" w:space="0"/>
              <w:right w:val="single" w:color="auto" w:sz="4" w:space="0"/>
            </w:tcBorders>
            <w:vAlign w:val="center"/>
          </w:tcPr>
          <w:p w14:paraId="4C72CE68">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序号</w:t>
            </w:r>
          </w:p>
        </w:tc>
        <w:tc>
          <w:tcPr>
            <w:tcW w:w="4258" w:type="dxa"/>
            <w:tcBorders>
              <w:top w:val="single" w:color="auto" w:sz="4" w:space="0"/>
              <w:left w:val="single" w:color="auto" w:sz="4" w:space="0"/>
              <w:bottom w:val="single" w:color="auto" w:sz="4" w:space="0"/>
              <w:right w:val="single" w:color="auto" w:sz="4" w:space="0"/>
            </w:tcBorders>
            <w:vAlign w:val="center"/>
          </w:tcPr>
          <w:p w14:paraId="1B37C6EA">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检验项目</w:t>
            </w:r>
          </w:p>
        </w:tc>
        <w:tc>
          <w:tcPr>
            <w:tcW w:w="3869" w:type="dxa"/>
            <w:tcBorders>
              <w:top w:val="single" w:color="auto" w:sz="4" w:space="0"/>
              <w:left w:val="single" w:color="auto" w:sz="4" w:space="0"/>
              <w:bottom w:val="single" w:color="auto" w:sz="4" w:space="0"/>
              <w:right w:val="single" w:color="auto" w:sz="4" w:space="0"/>
            </w:tcBorders>
            <w:vAlign w:val="center"/>
          </w:tcPr>
          <w:p w14:paraId="63F9793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检验方法</w:t>
            </w:r>
          </w:p>
        </w:tc>
      </w:tr>
      <w:tr w14:paraId="01C14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77" w:type="dxa"/>
            <w:vAlign w:val="center"/>
          </w:tcPr>
          <w:p w14:paraId="65C4D97D">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4258" w:type="dxa"/>
            <w:vAlign w:val="center"/>
          </w:tcPr>
          <w:p w14:paraId="4161DB4D">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含水率</w:t>
            </w:r>
          </w:p>
        </w:tc>
        <w:tc>
          <w:tcPr>
            <w:tcW w:w="3869" w:type="dxa"/>
            <w:vAlign w:val="center"/>
          </w:tcPr>
          <w:p w14:paraId="0B648FA3">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GB/T 15036.2-2018</w:t>
            </w:r>
          </w:p>
        </w:tc>
      </w:tr>
      <w:tr w14:paraId="1C476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77" w:type="dxa"/>
            <w:vAlign w:val="center"/>
          </w:tcPr>
          <w:p w14:paraId="3C53BC47">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4258" w:type="dxa"/>
            <w:vAlign w:val="center"/>
          </w:tcPr>
          <w:p w14:paraId="303AE7F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漆膜表面耐磨</w:t>
            </w:r>
          </w:p>
        </w:tc>
        <w:tc>
          <w:tcPr>
            <w:tcW w:w="3869" w:type="dxa"/>
            <w:vAlign w:val="top"/>
          </w:tcPr>
          <w:p w14:paraId="610907E3">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GB/T 15036.2-2018</w:t>
            </w:r>
          </w:p>
        </w:tc>
      </w:tr>
      <w:tr w14:paraId="03E2A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77" w:type="dxa"/>
            <w:vAlign w:val="center"/>
          </w:tcPr>
          <w:p w14:paraId="204138F8">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4258" w:type="dxa"/>
            <w:vAlign w:val="center"/>
          </w:tcPr>
          <w:p w14:paraId="4F7C504C">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漆膜附着力</w:t>
            </w:r>
          </w:p>
        </w:tc>
        <w:tc>
          <w:tcPr>
            <w:tcW w:w="3869" w:type="dxa"/>
            <w:vAlign w:val="top"/>
          </w:tcPr>
          <w:p w14:paraId="07CAF76A">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GB/T 15036.2-2018</w:t>
            </w:r>
          </w:p>
        </w:tc>
      </w:tr>
      <w:tr w14:paraId="3EB2C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77" w:type="dxa"/>
            <w:vAlign w:val="center"/>
          </w:tcPr>
          <w:p w14:paraId="52A5A3D0">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4258" w:type="dxa"/>
            <w:vAlign w:val="center"/>
          </w:tcPr>
          <w:p w14:paraId="0FBD62D5">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漆膜硬度</w:t>
            </w:r>
          </w:p>
        </w:tc>
        <w:tc>
          <w:tcPr>
            <w:tcW w:w="3869" w:type="dxa"/>
            <w:vAlign w:val="top"/>
          </w:tcPr>
          <w:p w14:paraId="3047C6CB">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GB/T 15036.2-2018</w:t>
            </w:r>
          </w:p>
        </w:tc>
      </w:tr>
      <w:tr w14:paraId="1E1539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5" w:hRule="atLeast"/>
          <w:jc w:val="center"/>
        </w:trPr>
        <w:tc>
          <w:tcPr>
            <w:tcW w:w="877" w:type="dxa"/>
            <w:vAlign w:val="center"/>
          </w:tcPr>
          <w:p w14:paraId="1ECCBA21">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5</w:t>
            </w:r>
          </w:p>
        </w:tc>
        <w:tc>
          <w:tcPr>
            <w:tcW w:w="4258" w:type="dxa"/>
            <w:vAlign w:val="center"/>
          </w:tcPr>
          <w:p w14:paraId="6A80996A">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漆膜表面耐污染</w:t>
            </w:r>
          </w:p>
        </w:tc>
        <w:tc>
          <w:tcPr>
            <w:tcW w:w="3869" w:type="dxa"/>
            <w:vAlign w:val="center"/>
          </w:tcPr>
          <w:p w14:paraId="6F6C1296">
            <w:pPr>
              <w:keepNext w:val="0"/>
              <w:keepLines w:val="0"/>
              <w:pageBreakBefore w:val="0"/>
              <w:widowControl w:val="0"/>
              <w:kinsoku/>
              <w:wordWrap/>
              <w:overflowPunct/>
              <w:topLinePunct w:val="0"/>
              <w:autoSpaceDE/>
              <w:autoSpaceDN/>
              <w:bidi w:val="0"/>
              <w:adjustRightInd/>
              <w:snapToGrid/>
              <w:spacing w:line="340" w:lineRule="exact"/>
              <w:jc w:val="center"/>
              <w:textAlignment w:val="auto"/>
              <w:rPr>
                <w:rFonts w:hint="eastAsia" w:ascii="宋体" w:hAnsi="宋体" w:eastAsia="宋体" w:cs="宋体"/>
                <w:sz w:val="21"/>
                <w:szCs w:val="21"/>
              </w:rPr>
            </w:pPr>
            <w:r>
              <w:rPr>
                <w:rFonts w:hint="eastAsia" w:ascii="宋体" w:hAnsi="宋体" w:eastAsia="宋体" w:cs="宋体"/>
                <w:sz w:val="21"/>
                <w:szCs w:val="21"/>
              </w:rPr>
              <w:t>GB/T 15036.2-2018</w:t>
            </w:r>
          </w:p>
        </w:tc>
      </w:tr>
    </w:tbl>
    <w:p w14:paraId="4AB0BEB2">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执行企业标准、团体标准、地方标准的产品，检验项目参照上述内容执行。</w:t>
      </w:r>
    </w:p>
    <w:p w14:paraId="2C86AE1B">
      <w:pPr>
        <w:keepNext w:val="0"/>
        <w:keepLines w:val="0"/>
        <w:pageBreakBefore w:val="0"/>
        <w:kinsoku/>
        <w:wordWrap/>
        <w:overflowPunct/>
        <w:topLinePunct w:val="0"/>
        <w:autoSpaceDN/>
        <w:bidi w:val="0"/>
        <w:adjustRightInd/>
        <w:snapToGrid w:val="0"/>
        <w:spacing w:line="560" w:lineRule="exact"/>
        <w:ind w:firstLine="547" w:firstLineChars="171"/>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color w:val="auto"/>
          <w:sz w:val="32"/>
          <w:szCs w:val="32"/>
          <w:highlight w:val="none"/>
        </w:rPr>
        <w:t>凡是注日期的文件，其随后所有的修改单（不包括勘误的内容）或修订版不适用于本细则。凡是不注日期的文件，其最新版本适用于本细则。</w:t>
      </w:r>
    </w:p>
    <w:p w14:paraId="563A79AC">
      <w:pPr>
        <w:keepNext w:val="0"/>
        <w:keepLines w:val="0"/>
        <w:pageBreakBefore w:val="0"/>
        <w:kinsoku/>
        <w:wordWrap/>
        <w:overflowPunct/>
        <w:topLinePunct w:val="0"/>
        <w:autoSpaceDN/>
        <w:bidi w:val="0"/>
        <w:adjustRightInd/>
        <w:spacing w:line="56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3 判定规则</w:t>
      </w:r>
    </w:p>
    <w:p w14:paraId="634B4BB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3.1依据标准</w:t>
      </w:r>
    </w:p>
    <w:p w14:paraId="51CE84C6">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default" w:ascii="仿宋_GB2312" w:hAnsi="仿宋_GB2312" w:eastAsia="仿宋_GB2312" w:cs="仿宋_GB2312"/>
          <w:sz w:val="32"/>
          <w:szCs w:val="32"/>
        </w:rPr>
      </w:pPr>
      <w:r>
        <w:rPr>
          <w:rFonts w:hint="default" w:ascii="仿宋_GB2312" w:hAnsi="仿宋_GB2312" w:eastAsia="仿宋_GB2312" w:cs="仿宋_GB2312"/>
          <w:sz w:val="32"/>
          <w:szCs w:val="32"/>
        </w:rPr>
        <w:t>GB/T 15036.1-2018 实木地板 第1部分：技术要求</w:t>
      </w:r>
    </w:p>
    <w:p w14:paraId="3A0E2080">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现行有效的企业标准、团体标准、地方标准及产品明示质量要求</w:t>
      </w:r>
    </w:p>
    <w:p w14:paraId="659480F8">
      <w:pPr>
        <w:keepNext w:val="0"/>
        <w:keepLines w:val="0"/>
        <w:pageBreakBefore w:val="0"/>
        <w:kinsoku/>
        <w:wordWrap/>
        <w:overflowPunct/>
        <w:topLinePunct w:val="0"/>
        <w:autoSpaceDN/>
        <w:bidi w:val="0"/>
        <w:adjustRightInd/>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3.2判定原则</w:t>
      </w:r>
    </w:p>
    <w:p w14:paraId="6471832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经检验，检验项目全部合格，判定为被抽查产品所检项目未发现不合格；检验项目中任一项或一项以上不合格，判定为被抽查产品不合格。</w:t>
      </w:r>
    </w:p>
    <w:p w14:paraId="2225C24A">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若被检产品明示的质量要求高于本细则中检验项目依据的标准要求时，应按被检产品明示的质量要求判定。</w:t>
      </w:r>
    </w:p>
    <w:p w14:paraId="02B9839C">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若被检产品明示的质量要求低于本细则中检验项目依据的强制性标准要求时，应按照强制性标准要求判定。</w:t>
      </w:r>
    </w:p>
    <w:p w14:paraId="3CD29F0C">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若被检产品明示的质量要求低于或包含本细则中检验项目依据的推荐性标准要求时，应以被检产品明示的质量要求判定。</w:t>
      </w:r>
    </w:p>
    <w:p w14:paraId="10F7063D">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若被检产品明示的质量要求缺少本细则中检验项目依据的强制性标准要求时，应按照强制性标准要求判定。</w:t>
      </w:r>
    </w:p>
    <w:p w14:paraId="3DEE7BA1">
      <w:pPr>
        <w:keepNext w:val="0"/>
        <w:keepLines w:val="0"/>
        <w:pageBreakBefore w:val="0"/>
        <w:kinsoku/>
        <w:wordWrap/>
        <w:overflowPunct/>
        <w:topLinePunct w:val="0"/>
        <w:autoSpaceDN/>
        <w:bidi w:val="0"/>
        <w:adjustRightInd/>
        <w:snapToGrid w:val="0"/>
        <w:spacing w:line="560" w:lineRule="exact"/>
        <w:ind w:firstLine="636" w:firstLineChars="199"/>
        <w:textAlignment w:val="auto"/>
        <w:rPr>
          <w:rFonts w:hint="eastAsia"/>
          <w:sz w:val="24"/>
          <w:lang w:val="en-US" w:eastAsia="zh-CN"/>
        </w:rPr>
      </w:pPr>
      <w:r>
        <w:rPr>
          <w:rFonts w:hint="eastAsia" w:ascii="仿宋_GB2312" w:hAnsi="仿宋_GB2312" w:eastAsia="仿宋_GB2312" w:cs="仿宋_GB2312"/>
          <w:sz w:val="32"/>
          <w:szCs w:val="32"/>
        </w:rPr>
        <w:t>若被检产品明示的质量要求缺少本细则中检验项目依据的推荐性标准要求时，该项目不参与判定。</w:t>
      </w:r>
      <w:bookmarkStart w:id="0" w:name="_GoBack"/>
      <w:bookmarkEnd w:id="0"/>
    </w:p>
    <w:sectPr>
      <w:headerReference r:id="rId3" w:type="default"/>
      <w:footerReference r:id="rId4" w:type="default"/>
      <w:pgSz w:w="11907" w:h="16840"/>
      <w:pgMar w:top="1701" w:right="1418" w:bottom="1701" w:left="1418" w:header="567" w:footer="56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BBEA7B7-89BE-4EF7-8322-04E84563D22A}"/>
  </w:font>
  <w:font w:name="Arial">
    <w:panose1 w:val="020B0604020202020204"/>
    <w:charset w:val="01"/>
    <w:family w:val="swiss"/>
    <w:pitch w:val="default"/>
    <w:sig w:usb0="E0002EFF" w:usb1="C000785B" w:usb2="00000009" w:usb3="00000000" w:csb0="400001FF" w:csb1="FFFF0000"/>
    <w:embedRegular r:id="rId2" w:fontKey="{D711008A-06DF-45C1-ABD1-B22E5D947A48}"/>
  </w:font>
  <w:font w:name="黑体">
    <w:panose1 w:val="02010609060101010101"/>
    <w:charset w:val="86"/>
    <w:family w:val="auto"/>
    <w:pitch w:val="default"/>
    <w:sig w:usb0="800002BF" w:usb1="38CF7CFA" w:usb2="00000016" w:usb3="00000000" w:csb0="00040001" w:csb1="00000000"/>
    <w:embedRegular r:id="rId3" w:fontKey="{9BC42DDC-2ED6-47CB-B2D4-262817A6FB5B}"/>
  </w:font>
  <w:font w:name="Courier New">
    <w:panose1 w:val="02070309020205020404"/>
    <w:charset w:val="01"/>
    <w:family w:val="modern"/>
    <w:pitch w:val="default"/>
    <w:sig w:usb0="E0002EFF" w:usb1="C0007843" w:usb2="00000009" w:usb3="00000000" w:csb0="400001FF" w:csb1="FFFF0000"/>
    <w:embedRegular r:id="rId4" w:fontKey="{E87CA8C7-FA1E-4D21-AD48-654AA14F721A}"/>
  </w:font>
  <w:font w:name="Symbol">
    <w:panose1 w:val="05050102010706020507"/>
    <w:charset w:val="02"/>
    <w:family w:val="roman"/>
    <w:pitch w:val="default"/>
    <w:sig w:usb0="00000000" w:usb1="00000000" w:usb2="00000000" w:usb3="00000000" w:csb0="80000000" w:csb1="00000000"/>
    <w:embedRegular r:id="rId5" w:fontKey="{9DBDC16D-C051-4391-85BC-CFBF16BCE91B}"/>
  </w:font>
  <w:font w:name="Calibri">
    <w:panose1 w:val="020F0502020204030204"/>
    <w:charset w:val="00"/>
    <w:family w:val="swiss"/>
    <w:pitch w:val="default"/>
    <w:sig w:usb0="E4002EFF" w:usb1="C200247B" w:usb2="00000009" w:usb3="00000000" w:csb0="200001FF" w:csb1="00000000"/>
    <w:embedRegular r:id="rId6" w:fontKey="{0161BC2F-EE2B-4CDD-B065-218460C2ECF9}"/>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embedRegular r:id="rId7" w:fontKey="{90102880-969F-4662-8905-79F3A0406D44}"/>
  </w:font>
  <w:font w:name="仿宋_GB2312">
    <w:panose1 w:val="02010609030101010101"/>
    <w:charset w:val="86"/>
    <w:family w:val="modern"/>
    <w:pitch w:val="default"/>
    <w:sig w:usb0="00000001" w:usb1="080E0000" w:usb2="00000000" w:usb3="00000000" w:csb0="00040000" w:csb1="00000000"/>
    <w:embedRegular r:id="rId8" w:fontKey="{31BFBC76-DACE-4005-BD01-6147E6A74231}"/>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B968A7">
    <w:pPr>
      <w:adjustRightInd/>
      <w:snapToGrid w:val="0"/>
      <w:spacing w:before="120" w:beforeLines="50" w:line="240" w:lineRule="auto"/>
      <w:textAlignment w:val="auto"/>
      <w:rPr>
        <w:rFonts w:hint="eastAsia" w:ascii="宋体" w:hAnsi="宋体"/>
        <w:kern w:val="2"/>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C80647">
    <w:pPr>
      <w:pStyle w:val="8"/>
      <w:pBdr>
        <w:bottom w:val="none" w:color="auto" w:sz="0" w:space="0"/>
      </w:pBdr>
      <w:rPr>
        <w:rFonts w:hint="eastAsia"/>
        <w:b/>
        <w:sz w:val="28"/>
        <w:szCs w:val="2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k3M2U0ZDQ4YzMyZDhlMTI3OWMwYjE2N2QwMmUxMGEifQ=="/>
  </w:docVars>
  <w:rsids>
    <w:rsidRoot w:val="00172A27"/>
    <w:rsid w:val="000020BE"/>
    <w:rsid w:val="00002EA4"/>
    <w:rsid w:val="00026AB7"/>
    <w:rsid w:val="000321D9"/>
    <w:rsid w:val="00033C44"/>
    <w:rsid w:val="000351A4"/>
    <w:rsid w:val="00051A44"/>
    <w:rsid w:val="00054CA3"/>
    <w:rsid w:val="000565BF"/>
    <w:rsid w:val="00062195"/>
    <w:rsid w:val="0006305F"/>
    <w:rsid w:val="0006480C"/>
    <w:rsid w:val="00080B0F"/>
    <w:rsid w:val="00081CBD"/>
    <w:rsid w:val="00091170"/>
    <w:rsid w:val="00094FDF"/>
    <w:rsid w:val="000976DE"/>
    <w:rsid w:val="000B20DE"/>
    <w:rsid w:val="000C23F9"/>
    <w:rsid w:val="000C638E"/>
    <w:rsid w:val="000C6F9E"/>
    <w:rsid w:val="000F086E"/>
    <w:rsid w:val="000F50E2"/>
    <w:rsid w:val="00100E39"/>
    <w:rsid w:val="00121AE9"/>
    <w:rsid w:val="00137B98"/>
    <w:rsid w:val="00145FAF"/>
    <w:rsid w:val="00173AB6"/>
    <w:rsid w:val="001809DD"/>
    <w:rsid w:val="00182D02"/>
    <w:rsid w:val="001833D2"/>
    <w:rsid w:val="001843EC"/>
    <w:rsid w:val="001B39AB"/>
    <w:rsid w:val="001D0A41"/>
    <w:rsid w:val="00200008"/>
    <w:rsid w:val="00201BD3"/>
    <w:rsid w:val="002044CB"/>
    <w:rsid w:val="00213B1C"/>
    <w:rsid w:val="00232530"/>
    <w:rsid w:val="00244B61"/>
    <w:rsid w:val="00253624"/>
    <w:rsid w:val="00255A9C"/>
    <w:rsid w:val="0026017A"/>
    <w:rsid w:val="00276DAA"/>
    <w:rsid w:val="002A5C25"/>
    <w:rsid w:val="002D5352"/>
    <w:rsid w:val="002D728A"/>
    <w:rsid w:val="002D7F8A"/>
    <w:rsid w:val="002E0D1D"/>
    <w:rsid w:val="003203A3"/>
    <w:rsid w:val="00331031"/>
    <w:rsid w:val="00342408"/>
    <w:rsid w:val="00352195"/>
    <w:rsid w:val="003562B2"/>
    <w:rsid w:val="00356736"/>
    <w:rsid w:val="00364A7D"/>
    <w:rsid w:val="00365CBE"/>
    <w:rsid w:val="003778E3"/>
    <w:rsid w:val="003932F4"/>
    <w:rsid w:val="00393F38"/>
    <w:rsid w:val="003A7133"/>
    <w:rsid w:val="003A7D30"/>
    <w:rsid w:val="003B056F"/>
    <w:rsid w:val="003B39FC"/>
    <w:rsid w:val="003C08EC"/>
    <w:rsid w:val="003C388C"/>
    <w:rsid w:val="003C7852"/>
    <w:rsid w:val="003D09A1"/>
    <w:rsid w:val="003E61BF"/>
    <w:rsid w:val="00405EC3"/>
    <w:rsid w:val="00405FF0"/>
    <w:rsid w:val="00410404"/>
    <w:rsid w:val="004104AC"/>
    <w:rsid w:val="00440A6B"/>
    <w:rsid w:val="00445E86"/>
    <w:rsid w:val="00456FC7"/>
    <w:rsid w:val="00474E04"/>
    <w:rsid w:val="004763D3"/>
    <w:rsid w:val="00494AA7"/>
    <w:rsid w:val="00496838"/>
    <w:rsid w:val="004C1A2A"/>
    <w:rsid w:val="004C2AC0"/>
    <w:rsid w:val="004D0C5A"/>
    <w:rsid w:val="004D184C"/>
    <w:rsid w:val="004D1A13"/>
    <w:rsid w:val="004E1396"/>
    <w:rsid w:val="004E4EA0"/>
    <w:rsid w:val="00512252"/>
    <w:rsid w:val="00545D75"/>
    <w:rsid w:val="00556726"/>
    <w:rsid w:val="00562335"/>
    <w:rsid w:val="00563EBC"/>
    <w:rsid w:val="00566937"/>
    <w:rsid w:val="00575ED0"/>
    <w:rsid w:val="00576FA4"/>
    <w:rsid w:val="005853E4"/>
    <w:rsid w:val="0058549D"/>
    <w:rsid w:val="00594B67"/>
    <w:rsid w:val="005B4095"/>
    <w:rsid w:val="005C3F57"/>
    <w:rsid w:val="005E5B21"/>
    <w:rsid w:val="005F53B8"/>
    <w:rsid w:val="00600B21"/>
    <w:rsid w:val="006011E8"/>
    <w:rsid w:val="00603630"/>
    <w:rsid w:val="006158A6"/>
    <w:rsid w:val="0062283B"/>
    <w:rsid w:val="006230A3"/>
    <w:rsid w:val="0062741F"/>
    <w:rsid w:val="00631525"/>
    <w:rsid w:val="00634F7B"/>
    <w:rsid w:val="006429DB"/>
    <w:rsid w:val="00671E42"/>
    <w:rsid w:val="006A5A14"/>
    <w:rsid w:val="006B2446"/>
    <w:rsid w:val="006B6A5F"/>
    <w:rsid w:val="006C7AA1"/>
    <w:rsid w:val="006D027E"/>
    <w:rsid w:val="006D35EF"/>
    <w:rsid w:val="006D72B9"/>
    <w:rsid w:val="006E1171"/>
    <w:rsid w:val="006F0971"/>
    <w:rsid w:val="006F3737"/>
    <w:rsid w:val="006F475E"/>
    <w:rsid w:val="00704110"/>
    <w:rsid w:val="00706A62"/>
    <w:rsid w:val="00711794"/>
    <w:rsid w:val="00722C59"/>
    <w:rsid w:val="00722E33"/>
    <w:rsid w:val="0072334C"/>
    <w:rsid w:val="00724899"/>
    <w:rsid w:val="007279BA"/>
    <w:rsid w:val="00731D9D"/>
    <w:rsid w:val="007343AF"/>
    <w:rsid w:val="00746A2D"/>
    <w:rsid w:val="007A2E48"/>
    <w:rsid w:val="007B29CC"/>
    <w:rsid w:val="007E0757"/>
    <w:rsid w:val="00812799"/>
    <w:rsid w:val="008137E9"/>
    <w:rsid w:val="00821EED"/>
    <w:rsid w:val="008522D1"/>
    <w:rsid w:val="00875C52"/>
    <w:rsid w:val="0089206E"/>
    <w:rsid w:val="00895BEA"/>
    <w:rsid w:val="008A3497"/>
    <w:rsid w:val="008B5D1D"/>
    <w:rsid w:val="008D36B1"/>
    <w:rsid w:val="008F582D"/>
    <w:rsid w:val="00907E27"/>
    <w:rsid w:val="00915A65"/>
    <w:rsid w:val="00917A54"/>
    <w:rsid w:val="00944EB9"/>
    <w:rsid w:val="00953E64"/>
    <w:rsid w:val="00956B78"/>
    <w:rsid w:val="00957BF8"/>
    <w:rsid w:val="00971DC3"/>
    <w:rsid w:val="009C2943"/>
    <w:rsid w:val="009D062D"/>
    <w:rsid w:val="009D2D88"/>
    <w:rsid w:val="009F24EF"/>
    <w:rsid w:val="009F50B6"/>
    <w:rsid w:val="00A00FD8"/>
    <w:rsid w:val="00A101CE"/>
    <w:rsid w:val="00A154F7"/>
    <w:rsid w:val="00A25C7E"/>
    <w:rsid w:val="00A43553"/>
    <w:rsid w:val="00A67F0D"/>
    <w:rsid w:val="00A71375"/>
    <w:rsid w:val="00A8267E"/>
    <w:rsid w:val="00A9383D"/>
    <w:rsid w:val="00A97488"/>
    <w:rsid w:val="00AC3CD3"/>
    <w:rsid w:val="00AC5391"/>
    <w:rsid w:val="00AD0012"/>
    <w:rsid w:val="00AD2C1C"/>
    <w:rsid w:val="00AE7FD1"/>
    <w:rsid w:val="00B026AE"/>
    <w:rsid w:val="00B047D1"/>
    <w:rsid w:val="00B23FC4"/>
    <w:rsid w:val="00B41B40"/>
    <w:rsid w:val="00B41BC0"/>
    <w:rsid w:val="00B44539"/>
    <w:rsid w:val="00B60639"/>
    <w:rsid w:val="00B745B2"/>
    <w:rsid w:val="00B85892"/>
    <w:rsid w:val="00B91E8D"/>
    <w:rsid w:val="00BA0992"/>
    <w:rsid w:val="00BB05E6"/>
    <w:rsid w:val="00BC3D40"/>
    <w:rsid w:val="00BE56DF"/>
    <w:rsid w:val="00BF0269"/>
    <w:rsid w:val="00BF2B8C"/>
    <w:rsid w:val="00C0517A"/>
    <w:rsid w:val="00C26074"/>
    <w:rsid w:val="00C26739"/>
    <w:rsid w:val="00C26EB8"/>
    <w:rsid w:val="00C340C7"/>
    <w:rsid w:val="00C43126"/>
    <w:rsid w:val="00C5048A"/>
    <w:rsid w:val="00C745B3"/>
    <w:rsid w:val="00C83B0A"/>
    <w:rsid w:val="00CB1E77"/>
    <w:rsid w:val="00CE0967"/>
    <w:rsid w:val="00CE1E0C"/>
    <w:rsid w:val="00CE277E"/>
    <w:rsid w:val="00D46923"/>
    <w:rsid w:val="00D536E3"/>
    <w:rsid w:val="00D56867"/>
    <w:rsid w:val="00D93108"/>
    <w:rsid w:val="00DB7867"/>
    <w:rsid w:val="00DC1235"/>
    <w:rsid w:val="00DC1F3F"/>
    <w:rsid w:val="00DC7EA2"/>
    <w:rsid w:val="00DF0117"/>
    <w:rsid w:val="00DF0CBF"/>
    <w:rsid w:val="00DF52A9"/>
    <w:rsid w:val="00E02A7F"/>
    <w:rsid w:val="00E07505"/>
    <w:rsid w:val="00E07880"/>
    <w:rsid w:val="00E13B3B"/>
    <w:rsid w:val="00E22F67"/>
    <w:rsid w:val="00E30AFF"/>
    <w:rsid w:val="00E33EDB"/>
    <w:rsid w:val="00E357AF"/>
    <w:rsid w:val="00E644B1"/>
    <w:rsid w:val="00E67161"/>
    <w:rsid w:val="00E7086B"/>
    <w:rsid w:val="00E82621"/>
    <w:rsid w:val="00E86ABD"/>
    <w:rsid w:val="00E9490D"/>
    <w:rsid w:val="00EB3587"/>
    <w:rsid w:val="00ED4402"/>
    <w:rsid w:val="00F13D01"/>
    <w:rsid w:val="00F30146"/>
    <w:rsid w:val="00F322B2"/>
    <w:rsid w:val="00F65A60"/>
    <w:rsid w:val="00F65F37"/>
    <w:rsid w:val="00F7607C"/>
    <w:rsid w:val="00F77C9A"/>
    <w:rsid w:val="00F80BE5"/>
    <w:rsid w:val="00FA71FC"/>
    <w:rsid w:val="00FA7BE3"/>
    <w:rsid w:val="00FB0D74"/>
    <w:rsid w:val="00FB4F65"/>
    <w:rsid w:val="00FB576C"/>
    <w:rsid w:val="00FD2AA6"/>
    <w:rsid w:val="00FE7E8A"/>
    <w:rsid w:val="00FF5DB5"/>
    <w:rsid w:val="01FE79F8"/>
    <w:rsid w:val="025B3C7B"/>
    <w:rsid w:val="05342D0B"/>
    <w:rsid w:val="06BE6380"/>
    <w:rsid w:val="0A41763A"/>
    <w:rsid w:val="0A6B3D13"/>
    <w:rsid w:val="0F150221"/>
    <w:rsid w:val="10205131"/>
    <w:rsid w:val="139C5FA3"/>
    <w:rsid w:val="14DA5A37"/>
    <w:rsid w:val="17E63EB0"/>
    <w:rsid w:val="1C2D5FD2"/>
    <w:rsid w:val="1EE771CB"/>
    <w:rsid w:val="20E37CCD"/>
    <w:rsid w:val="23260E1E"/>
    <w:rsid w:val="265E3C10"/>
    <w:rsid w:val="26D162A5"/>
    <w:rsid w:val="28257C1A"/>
    <w:rsid w:val="28857ADB"/>
    <w:rsid w:val="28FA3140"/>
    <w:rsid w:val="2E7A583A"/>
    <w:rsid w:val="2FF95B87"/>
    <w:rsid w:val="30B92302"/>
    <w:rsid w:val="32AA2E28"/>
    <w:rsid w:val="33DF42DA"/>
    <w:rsid w:val="38F1370F"/>
    <w:rsid w:val="3B1F606A"/>
    <w:rsid w:val="416239DC"/>
    <w:rsid w:val="421B598A"/>
    <w:rsid w:val="451D13BE"/>
    <w:rsid w:val="562316FF"/>
    <w:rsid w:val="56E47788"/>
    <w:rsid w:val="62162AF5"/>
    <w:rsid w:val="66507A6C"/>
    <w:rsid w:val="68D62580"/>
    <w:rsid w:val="6A8F5B25"/>
    <w:rsid w:val="72213F14"/>
    <w:rsid w:val="73A92C4D"/>
    <w:rsid w:val="7BCD39F2"/>
    <w:rsid w:val="7C666DD4"/>
    <w:rsid w:val="7EBE001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12">
    <w:name w:val="Default Paragraph Font"/>
    <w:semiHidden/>
    <w:qFormat/>
    <w:uiPriority w:val="0"/>
  </w:style>
  <w:style w:type="table" w:default="1" w:styleId="11">
    <w:name w:val="Normal Table"/>
    <w:unhideWhenUsed/>
    <w:qFormat/>
    <w:uiPriority w:val="99"/>
    <w:tblPr>
      <w:tblCellMar>
        <w:top w:w="0" w:type="dxa"/>
        <w:left w:w="108" w:type="dxa"/>
        <w:bottom w:w="0" w:type="dxa"/>
        <w:right w:w="108" w:type="dxa"/>
      </w:tblCellMar>
    </w:tblPr>
  </w:style>
  <w:style w:type="paragraph" w:styleId="2">
    <w:name w:val="toc 2"/>
    <w:basedOn w:val="1"/>
    <w:next w:val="1"/>
    <w:unhideWhenUsed/>
    <w:qFormat/>
    <w:uiPriority w:val="39"/>
    <w:pPr>
      <w:ind w:left="420" w:leftChars="200"/>
    </w:pPr>
  </w:style>
  <w:style w:type="paragraph" w:styleId="4">
    <w:name w:val="annotation text"/>
    <w:basedOn w:val="1"/>
    <w:link w:val="20"/>
    <w:unhideWhenUsed/>
    <w:qFormat/>
    <w:uiPriority w:val="99"/>
    <w:pPr>
      <w:jc w:val="left"/>
    </w:pPr>
  </w:style>
  <w:style w:type="paragraph" w:styleId="5">
    <w:name w:val="Plain Text"/>
    <w:basedOn w:val="1"/>
    <w:unhideWhenUsed/>
    <w:qFormat/>
    <w:uiPriority w:val="99"/>
    <w:pPr>
      <w:widowControl w:val="0"/>
      <w:jc w:val="both"/>
    </w:pPr>
    <w:rPr>
      <w:rFonts w:ascii="宋体" w:hAnsi="Courier New" w:eastAsia="宋体" w:cs="Times New Roman"/>
      <w:kern w:val="2"/>
      <w:sz w:val="32"/>
      <w:szCs w:val="21"/>
      <w:lang w:val="en-US" w:eastAsia="zh-CN" w:bidi="ar-SA"/>
    </w:rPr>
  </w:style>
  <w:style w:type="paragraph" w:styleId="6">
    <w:name w:val="Balloon Text"/>
    <w:basedOn w:val="1"/>
    <w:link w:val="18"/>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0"/>
    <w:pPr>
      <w:spacing w:before="100" w:beforeAutospacing="1" w:after="100" w:afterAutospacing="1"/>
      <w:ind w:left="0" w:right="0"/>
      <w:jc w:val="left"/>
    </w:pPr>
    <w:rPr>
      <w:kern w:val="0"/>
      <w:sz w:val="24"/>
      <w:lang w:val="en-US" w:eastAsia="zh-CN" w:bidi="ar"/>
    </w:rPr>
  </w:style>
  <w:style w:type="paragraph" w:styleId="10">
    <w:name w:val="annotation subject"/>
    <w:basedOn w:val="4"/>
    <w:next w:val="4"/>
    <w:link w:val="19"/>
    <w:unhideWhenUsed/>
    <w:qFormat/>
    <w:uiPriority w:val="99"/>
    <w:rPr>
      <w:b/>
      <w:bCs/>
    </w:rPr>
  </w:style>
  <w:style w:type="character" w:styleId="13">
    <w:name w:val="Strong"/>
    <w:qFormat/>
    <w:uiPriority w:val="22"/>
    <w:rPr>
      <w:b/>
      <w:bCs/>
    </w:rPr>
  </w:style>
  <w:style w:type="character" w:styleId="14">
    <w:name w:val="page number"/>
    <w:qFormat/>
    <w:uiPriority w:val="0"/>
  </w:style>
  <w:style w:type="character" w:styleId="15">
    <w:name w:val="annotation reference"/>
    <w:unhideWhenUsed/>
    <w:qFormat/>
    <w:uiPriority w:val="99"/>
    <w:rPr>
      <w:sz w:val="21"/>
      <w:szCs w:val="21"/>
    </w:rPr>
  </w:style>
  <w:style w:type="character" w:customStyle="1" w:styleId="16">
    <w:name w:val="页眉 字符"/>
    <w:link w:val="8"/>
    <w:semiHidden/>
    <w:qFormat/>
    <w:uiPriority w:val="99"/>
    <w:rPr>
      <w:kern w:val="2"/>
      <w:sz w:val="18"/>
      <w:szCs w:val="18"/>
    </w:rPr>
  </w:style>
  <w:style w:type="character" w:customStyle="1" w:styleId="17">
    <w:name w:val="页脚 字符"/>
    <w:link w:val="7"/>
    <w:qFormat/>
    <w:uiPriority w:val="99"/>
    <w:rPr>
      <w:kern w:val="2"/>
      <w:sz w:val="18"/>
      <w:szCs w:val="18"/>
    </w:rPr>
  </w:style>
  <w:style w:type="character" w:customStyle="1" w:styleId="18">
    <w:name w:val="批注框文本 字符"/>
    <w:link w:val="6"/>
    <w:semiHidden/>
    <w:qFormat/>
    <w:uiPriority w:val="99"/>
    <w:rPr>
      <w:kern w:val="2"/>
      <w:sz w:val="18"/>
      <w:szCs w:val="18"/>
    </w:rPr>
  </w:style>
  <w:style w:type="character" w:customStyle="1" w:styleId="19">
    <w:name w:val="批注主题 字符"/>
    <w:link w:val="10"/>
    <w:semiHidden/>
    <w:qFormat/>
    <w:uiPriority w:val="99"/>
    <w:rPr>
      <w:b/>
      <w:bCs/>
      <w:kern w:val="2"/>
      <w:sz w:val="21"/>
      <w:szCs w:val="24"/>
    </w:rPr>
  </w:style>
  <w:style w:type="character" w:customStyle="1" w:styleId="20">
    <w:name w:val="批注文字 字符"/>
    <w:link w:val="4"/>
    <w:qFormat/>
    <w:uiPriority w:val="99"/>
    <w:rPr>
      <w:kern w:val="2"/>
      <w:sz w:val="21"/>
      <w:szCs w:val="24"/>
    </w:rPr>
  </w:style>
  <w:style w:type="paragraph" w:customStyle="1" w:styleId="21">
    <w:name w:val="_Style 19"/>
    <w:unhideWhenUsed/>
    <w:qFormat/>
    <w:uiPriority w:val="99"/>
    <w:rPr>
      <w:rFonts w:ascii="Times New Roman" w:hAnsi="Times New Roman" w:eastAsia="宋体" w:cs="Times New Roman"/>
      <w:kern w:val="2"/>
      <w:sz w:val="21"/>
      <w:szCs w:val="24"/>
      <w:lang w:val="en-US" w:eastAsia="zh-CN" w:bidi="ar-SA"/>
    </w:rPr>
  </w:style>
  <w:style w:type="paragraph" w:customStyle="1" w:styleId="22">
    <w:name w:val="列出段落1"/>
    <w:basedOn w:val="1"/>
    <w:qFormat/>
    <w:uiPriority w:val="34"/>
    <w:pPr>
      <w:ind w:firstLine="420" w:firstLineChars="200"/>
    </w:pPr>
    <w:rPr>
      <w:rFonts w:ascii="Calibri" w:hAnsi="Calibri"/>
      <w:szCs w:val="22"/>
    </w:rPr>
  </w:style>
  <w:style w:type="paragraph" w:customStyle="1" w:styleId="23">
    <w:name w:val="List Paragraph"/>
    <w:basedOn w:val="1"/>
    <w:qFormat/>
    <w:uiPriority w:val="34"/>
    <w:pPr>
      <w:adjustRightInd/>
      <w:spacing w:line="240" w:lineRule="auto"/>
      <w:ind w:firstLine="420" w:firstLineChars="200"/>
      <w:jc w:val="both"/>
      <w:textAlignment w:val="auto"/>
    </w:pPr>
    <w:rPr>
      <w:rFonts w:ascii="Calibri" w:hAnsi="Calibri"/>
      <w:kern w:val="2"/>
      <w:sz w:val="21"/>
      <w:szCs w:val="22"/>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Legend (Beijing) Limited</Company>
  <Pages>2</Pages>
  <Words>1290</Words>
  <Characters>1480</Characters>
  <Lines>10</Lines>
  <Paragraphs>2</Paragraphs>
  <TotalTime>1</TotalTime>
  <ScaleCrop>false</ScaleCrop>
  <LinksUpToDate>false</LinksUpToDate>
  <CharactersWithSpaces>1510</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2024-03-07T01:39:00Z</dcterms:created>
  <dc:creator>Legend User</dc:creator>
  <cp:lastModifiedBy>cui</cp:lastModifiedBy>
  <cp:lastPrinted>2019-12-05T07:53:00Z</cp:lastPrinted>
  <dcterms:modified xsi:type="dcterms:W3CDTF">2026-02-03T02:52:38Z</dcterms:modified>
  <dc:title>××产品质量监督抽查实施细则</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SaveFontToCloudKey">
    <vt:lpwstr>550453206_embed</vt:lpwstr>
  </property>
  <property fmtid="{D5CDD505-2E9C-101B-9397-08002B2CF9AE}" pid="4" name="ICV">
    <vt:lpwstr>77F23A9F8C92414CB89AC6FC2B952F0D_13</vt:lpwstr>
  </property>
  <property fmtid="{D5CDD505-2E9C-101B-9397-08002B2CF9AE}" pid="5" name="KSOTemplateDocerSaveRecord">
    <vt:lpwstr>eyJoZGlkIjoiMDk3M2U0ZDQ4YzMyZDhlMTI3OWMwYjE2N2QwMmUxMGEiLCJ1c2VySWQiOiI0Mjk3ODY0MzAifQ==</vt:lpwstr>
  </property>
</Properties>
</file>