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36A86AD">
      <w:pPr>
        <w:keepNext w:val="0"/>
        <w:keepLines w:val="0"/>
        <w:pageBreakBefore w:val="0"/>
        <w:kinsoku/>
        <w:wordWrap/>
        <w:overflowPunct/>
        <w:topLinePunct w:val="0"/>
        <w:autoSpaceDN/>
        <w:bidi w:val="0"/>
        <w:adjustRightInd/>
        <w:snapToGrid w:val="0"/>
        <w:spacing w:line="560" w:lineRule="exact"/>
        <w:jc w:val="center"/>
        <w:textAlignment w:val="auto"/>
        <w:rPr>
          <w:rFonts w:hint="eastAsia" w:ascii="方正小标宋简体" w:hAnsi="方正小标宋简体" w:eastAsia="方正小标宋简体" w:cs="方正小标宋简体"/>
          <w:color w:val="auto"/>
          <w:sz w:val="44"/>
          <w:szCs w:val="44"/>
          <w:highlight w:val="none"/>
        </w:rPr>
      </w:pPr>
      <w:r>
        <w:rPr>
          <w:rFonts w:hint="eastAsia" w:ascii="方正小标宋简体" w:hAnsi="方正小标宋简体" w:eastAsia="方正小标宋简体" w:cs="方正小标宋简体"/>
          <w:color w:val="auto"/>
          <w:sz w:val="44"/>
          <w:szCs w:val="44"/>
          <w:highlight w:val="none"/>
          <w:lang w:val="en-US" w:eastAsia="zh-CN"/>
        </w:rPr>
        <w:t>东莞市儿童及婴幼儿服装</w:t>
      </w:r>
      <w:r>
        <w:rPr>
          <w:rFonts w:hint="eastAsia" w:ascii="方正小标宋简体" w:hAnsi="方正小标宋简体" w:eastAsia="方正小标宋简体" w:cs="方正小标宋简体"/>
          <w:color w:val="auto"/>
          <w:sz w:val="44"/>
          <w:szCs w:val="44"/>
          <w:highlight w:val="none"/>
        </w:rPr>
        <w:t>产品质量监督抽查实施细则</w:t>
      </w:r>
    </w:p>
    <w:p w14:paraId="7FCBAA6E">
      <w:pPr>
        <w:keepNext w:val="0"/>
        <w:keepLines w:val="0"/>
        <w:pageBreakBefore w:val="0"/>
        <w:kinsoku/>
        <w:wordWrap/>
        <w:overflowPunct/>
        <w:topLinePunct w:val="0"/>
        <w:autoSpaceDN/>
        <w:bidi w:val="0"/>
        <w:adjustRightInd/>
        <w:spacing w:line="560" w:lineRule="exact"/>
        <w:jc w:val="center"/>
        <w:textAlignment w:val="auto"/>
        <w:rPr>
          <w:rFonts w:hint="eastAsia" w:ascii="Times New Roman" w:hAnsi="Times New Roman" w:eastAsia="楷体_GB2312" w:cs="Times New Roman"/>
          <w:color w:val="auto"/>
          <w:sz w:val="32"/>
          <w:szCs w:val="32"/>
          <w:highlight w:val="none"/>
        </w:rPr>
      </w:pPr>
      <w:r>
        <w:rPr>
          <w:rFonts w:hint="eastAsia" w:ascii="Times New Roman" w:hAnsi="Times New Roman" w:eastAsia="楷体_GB2312" w:cs="Times New Roman"/>
          <w:color w:val="auto"/>
          <w:sz w:val="32"/>
          <w:szCs w:val="32"/>
          <w:highlight w:val="none"/>
        </w:rPr>
        <w:t>（202</w:t>
      </w:r>
      <w:r>
        <w:rPr>
          <w:rFonts w:hint="eastAsia" w:eastAsia="楷体_GB2312" w:cs="Times New Roman"/>
          <w:color w:val="auto"/>
          <w:sz w:val="32"/>
          <w:szCs w:val="32"/>
          <w:highlight w:val="none"/>
          <w:lang w:val="en-US" w:eastAsia="zh-CN"/>
        </w:rPr>
        <w:t>6</w:t>
      </w:r>
      <w:r>
        <w:rPr>
          <w:rFonts w:hint="eastAsia" w:ascii="Times New Roman" w:hAnsi="Times New Roman" w:eastAsia="楷体_GB2312" w:cs="Times New Roman"/>
          <w:color w:val="auto"/>
          <w:sz w:val="32"/>
          <w:szCs w:val="32"/>
          <w:highlight w:val="none"/>
        </w:rPr>
        <w:t>年版）</w:t>
      </w:r>
    </w:p>
    <w:p w14:paraId="40AB428B">
      <w:pPr>
        <w:keepNext w:val="0"/>
        <w:keepLines w:val="0"/>
        <w:pageBreakBefore w:val="0"/>
        <w:kinsoku/>
        <w:wordWrap/>
        <w:overflowPunct/>
        <w:topLinePunct w:val="0"/>
        <w:autoSpaceDN/>
        <w:bidi w:val="0"/>
        <w:adjustRightInd/>
        <w:snapToGrid w:val="0"/>
        <w:spacing w:line="560" w:lineRule="exact"/>
        <w:ind w:firstLine="359" w:firstLineChars="171"/>
        <w:textAlignment w:val="auto"/>
        <w:rPr>
          <w:szCs w:val="21"/>
        </w:rPr>
      </w:pPr>
    </w:p>
    <w:p w14:paraId="01048383">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1 抽样方法</w:t>
      </w:r>
    </w:p>
    <w:p w14:paraId="533EF2F7">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以随机抽样的方式在被抽样生产者、销售者的待销产品中抽取。</w:t>
      </w:r>
    </w:p>
    <w:p w14:paraId="7036140E">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随机数一般可使用随机数表等方法产生。</w:t>
      </w:r>
    </w:p>
    <w:p w14:paraId="432EE2AF">
      <w:pPr>
        <w:keepNext w:val="0"/>
        <w:keepLines w:val="0"/>
        <w:pageBreakBefore w:val="0"/>
        <w:overflowPunct/>
        <w:topLinePunct w:val="0"/>
        <w:bidi w:val="0"/>
        <w:adjustRightInd/>
        <w:snapToGrid/>
        <w:spacing w:beforeAutospacing="0" w:afterAutospacing="0" w:line="560" w:lineRule="exact"/>
        <w:jc w:val="both"/>
        <w:rPr>
          <w:rFonts w:ascii="Times New Roman" w:hAnsi="Times New Roman" w:eastAsia="仿宋_GB2312" w:cs="Times New Roman"/>
          <w:sz w:val="32"/>
          <w:szCs w:val="32"/>
          <w:highlight w:val="none"/>
        </w:rPr>
      </w:pPr>
      <w:r>
        <w:rPr>
          <w:rFonts w:ascii="Times New Roman" w:hAnsi="Times New Roman" w:eastAsia="仿宋_GB2312" w:cs="Times New Roman"/>
          <w:sz w:val="32"/>
          <w:szCs w:val="32"/>
          <w:highlight w:val="none"/>
        </w:rPr>
        <w:t>表1</w:t>
      </w:r>
      <w:r>
        <w:rPr>
          <w:rFonts w:hint="eastAsia" w:ascii="Times New Roman" w:hAnsi="Times New Roman" w:eastAsia="仿宋_GB2312" w:cs="Times New Roman"/>
          <w:sz w:val="32"/>
          <w:szCs w:val="32"/>
          <w:highlight w:val="none"/>
          <w:lang w:val="en-US" w:eastAsia="zh-CN"/>
        </w:rPr>
        <w:t xml:space="preserve"> </w:t>
      </w:r>
      <w:r>
        <w:rPr>
          <w:rFonts w:ascii="Times New Roman" w:hAnsi="Times New Roman" w:eastAsia="仿宋_GB2312" w:cs="Times New Roman"/>
          <w:sz w:val="32"/>
          <w:szCs w:val="32"/>
          <w:highlight w:val="none"/>
        </w:rPr>
        <w:t>抽取样品数量</w:t>
      </w:r>
    </w:p>
    <w:tbl>
      <w:tblPr>
        <w:tblStyle w:val="11"/>
        <w:tblW w:w="9195" w:type="dxa"/>
        <w:jc w:val="center"/>
        <w:tblLayout w:type="fixed"/>
        <w:tblCellMar>
          <w:top w:w="0" w:type="dxa"/>
          <w:left w:w="45" w:type="dxa"/>
          <w:bottom w:w="0" w:type="dxa"/>
          <w:right w:w="45" w:type="dxa"/>
        </w:tblCellMar>
      </w:tblPr>
      <w:tblGrid>
        <w:gridCol w:w="897"/>
        <w:gridCol w:w="1779"/>
        <w:gridCol w:w="2173"/>
        <w:gridCol w:w="2173"/>
        <w:gridCol w:w="2173"/>
      </w:tblGrid>
      <w:tr w14:paraId="551228FA">
        <w:tblPrEx>
          <w:tblCellMar>
            <w:top w:w="0" w:type="dxa"/>
            <w:left w:w="45" w:type="dxa"/>
            <w:bottom w:w="0" w:type="dxa"/>
            <w:right w:w="45" w:type="dxa"/>
          </w:tblCellMar>
        </w:tblPrEx>
        <w:trPr>
          <w:trHeight w:val="23" w:hRule="atLeast"/>
          <w:jc w:val="center"/>
        </w:trPr>
        <w:tc>
          <w:tcPr>
            <w:tcW w:w="897" w:type="dxa"/>
            <w:tcBorders>
              <w:top w:val="single" w:color="000000" w:sz="6" w:space="0"/>
              <w:left w:val="single" w:color="000000" w:sz="6" w:space="0"/>
              <w:bottom w:val="single" w:color="000000" w:sz="2" w:space="0"/>
              <w:right w:val="single" w:color="000000" w:sz="2" w:space="0"/>
            </w:tcBorders>
            <w:vAlign w:val="center"/>
          </w:tcPr>
          <w:p w14:paraId="55EE2E58">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序号</w:t>
            </w:r>
          </w:p>
        </w:tc>
        <w:tc>
          <w:tcPr>
            <w:tcW w:w="1779" w:type="dxa"/>
            <w:tcBorders>
              <w:top w:val="single" w:color="000000" w:sz="6" w:space="0"/>
              <w:left w:val="single" w:color="000000" w:sz="6" w:space="0"/>
              <w:bottom w:val="single" w:color="000000" w:sz="2" w:space="0"/>
              <w:right w:val="single" w:color="000000" w:sz="2" w:space="0"/>
            </w:tcBorders>
            <w:vAlign w:val="center"/>
          </w:tcPr>
          <w:p w14:paraId="2D74D39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产品种类</w:t>
            </w:r>
          </w:p>
        </w:tc>
        <w:tc>
          <w:tcPr>
            <w:tcW w:w="2173" w:type="dxa"/>
            <w:tcBorders>
              <w:top w:val="single" w:color="000000" w:sz="6" w:space="0"/>
              <w:left w:val="single" w:color="000000" w:sz="2" w:space="0"/>
              <w:bottom w:val="single" w:color="000000" w:sz="2" w:space="0"/>
              <w:right w:val="single" w:color="000000" w:sz="6" w:space="0"/>
            </w:tcBorders>
            <w:vAlign w:val="center"/>
          </w:tcPr>
          <w:p w14:paraId="45BDE98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抽样数量</w:t>
            </w:r>
          </w:p>
          <w:p w14:paraId="75E617BA">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（件/条/套）</w:t>
            </w:r>
          </w:p>
        </w:tc>
        <w:tc>
          <w:tcPr>
            <w:tcW w:w="2173" w:type="dxa"/>
            <w:tcBorders>
              <w:top w:val="single" w:color="000000" w:sz="6" w:space="0"/>
              <w:left w:val="single" w:color="000000" w:sz="2" w:space="0"/>
              <w:bottom w:val="single" w:color="000000" w:sz="2" w:space="0"/>
              <w:right w:val="single" w:color="000000" w:sz="6" w:space="0"/>
            </w:tcBorders>
            <w:vAlign w:val="center"/>
          </w:tcPr>
          <w:p w14:paraId="3BD0C32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检验样品数量</w:t>
            </w:r>
          </w:p>
          <w:p w14:paraId="17292C8A">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（件/条/套）</w:t>
            </w:r>
          </w:p>
        </w:tc>
        <w:tc>
          <w:tcPr>
            <w:tcW w:w="2173" w:type="dxa"/>
            <w:tcBorders>
              <w:top w:val="single" w:color="000000" w:sz="6" w:space="0"/>
              <w:left w:val="single" w:color="000000" w:sz="2" w:space="0"/>
              <w:bottom w:val="single" w:color="000000" w:sz="2" w:space="0"/>
              <w:right w:val="single" w:color="000000" w:sz="6" w:space="0"/>
            </w:tcBorders>
            <w:vAlign w:val="center"/>
          </w:tcPr>
          <w:p w14:paraId="5797B3FA">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备用样品数量</w:t>
            </w:r>
          </w:p>
          <w:p w14:paraId="219E684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（件/条/套）</w:t>
            </w:r>
          </w:p>
        </w:tc>
      </w:tr>
      <w:tr w14:paraId="6AF56294">
        <w:tblPrEx>
          <w:tblCellMar>
            <w:top w:w="0" w:type="dxa"/>
            <w:left w:w="45" w:type="dxa"/>
            <w:bottom w:w="0" w:type="dxa"/>
            <w:right w:w="45" w:type="dxa"/>
          </w:tblCellMar>
        </w:tblPrEx>
        <w:trPr>
          <w:trHeight w:val="589" w:hRule="atLeast"/>
          <w:jc w:val="center"/>
        </w:trPr>
        <w:tc>
          <w:tcPr>
            <w:tcW w:w="897" w:type="dxa"/>
            <w:tcBorders>
              <w:top w:val="single" w:color="000000" w:sz="2" w:space="0"/>
              <w:left w:val="single" w:color="000000" w:sz="6" w:space="0"/>
              <w:bottom w:val="single" w:color="000000" w:sz="2" w:space="0"/>
              <w:right w:val="single" w:color="000000" w:sz="2" w:space="0"/>
            </w:tcBorders>
            <w:vAlign w:val="center"/>
          </w:tcPr>
          <w:p w14:paraId="34BAF4D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仿宋_GB2312" w:cs="仿宋_GB2312"/>
                <w:color w:val="000000"/>
                <w:sz w:val="28"/>
                <w:szCs w:val="28"/>
                <w:highlight w:val="none"/>
                <w:lang w:val="en-US" w:eastAsia="zh-CN" w:bidi="ar"/>
              </w:rPr>
              <w:t>1</w:t>
            </w:r>
          </w:p>
        </w:tc>
        <w:tc>
          <w:tcPr>
            <w:tcW w:w="1779" w:type="dxa"/>
            <w:tcBorders>
              <w:top w:val="single" w:color="000000" w:sz="2" w:space="0"/>
              <w:left w:val="single" w:color="000000" w:sz="6" w:space="0"/>
              <w:bottom w:val="single" w:color="000000" w:sz="2" w:space="0"/>
              <w:right w:val="single" w:color="000000" w:sz="2" w:space="0"/>
            </w:tcBorders>
            <w:vAlign w:val="center"/>
          </w:tcPr>
          <w:p w14:paraId="034F6C7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仿宋_GB2312" w:cs="仿宋_GB2312"/>
                <w:color w:val="000000"/>
                <w:sz w:val="28"/>
                <w:szCs w:val="28"/>
                <w:highlight w:val="none"/>
                <w:lang w:val="en-US" w:eastAsia="zh-CN" w:bidi="ar"/>
              </w:rPr>
              <w:t>儿童服装</w:t>
            </w:r>
          </w:p>
        </w:tc>
        <w:tc>
          <w:tcPr>
            <w:tcW w:w="2173" w:type="dxa"/>
            <w:tcBorders>
              <w:top w:val="single" w:color="000000" w:sz="2" w:space="0"/>
              <w:left w:val="single" w:color="000000" w:sz="2" w:space="0"/>
              <w:bottom w:val="single" w:color="000000" w:sz="2" w:space="0"/>
              <w:right w:val="single" w:color="000000" w:sz="6" w:space="0"/>
            </w:tcBorders>
            <w:vAlign w:val="center"/>
          </w:tcPr>
          <w:p w14:paraId="18FFF57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仿宋_GB2312" w:cs="仿宋_GB2312"/>
                <w:color w:val="000000"/>
                <w:sz w:val="28"/>
                <w:szCs w:val="28"/>
                <w:highlight w:val="none"/>
                <w:lang w:val="en-US" w:eastAsia="zh-CN" w:bidi="ar"/>
              </w:rPr>
              <w:t>3</w:t>
            </w:r>
          </w:p>
        </w:tc>
        <w:tc>
          <w:tcPr>
            <w:tcW w:w="2173" w:type="dxa"/>
            <w:tcBorders>
              <w:top w:val="single" w:color="000000" w:sz="2" w:space="0"/>
              <w:left w:val="single" w:color="000000" w:sz="2" w:space="0"/>
              <w:bottom w:val="single" w:color="000000" w:sz="2" w:space="0"/>
              <w:right w:val="single" w:color="000000" w:sz="6" w:space="0"/>
            </w:tcBorders>
            <w:vAlign w:val="center"/>
          </w:tcPr>
          <w:p w14:paraId="2E784B2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仿宋_GB2312" w:cs="仿宋_GB2312"/>
                <w:color w:val="000000"/>
                <w:sz w:val="28"/>
                <w:szCs w:val="28"/>
                <w:highlight w:val="none"/>
                <w:lang w:val="en-US" w:eastAsia="zh-CN" w:bidi="ar"/>
              </w:rPr>
              <w:t>2</w:t>
            </w:r>
          </w:p>
        </w:tc>
        <w:tc>
          <w:tcPr>
            <w:tcW w:w="2173" w:type="dxa"/>
            <w:tcBorders>
              <w:top w:val="single" w:color="000000" w:sz="2" w:space="0"/>
              <w:left w:val="single" w:color="000000" w:sz="2" w:space="0"/>
              <w:bottom w:val="single" w:color="000000" w:sz="2" w:space="0"/>
              <w:right w:val="single" w:color="000000" w:sz="6" w:space="0"/>
            </w:tcBorders>
            <w:vAlign w:val="center"/>
          </w:tcPr>
          <w:p w14:paraId="57E7996A">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仿宋_GB2312" w:cs="仿宋_GB2312"/>
                <w:color w:val="000000"/>
                <w:sz w:val="28"/>
                <w:szCs w:val="28"/>
                <w:highlight w:val="none"/>
                <w:lang w:val="en-US" w:eastAsia="zh-CN" w:bidi="ar"/>
              </w:rPr>
              <w:t>1</w:t>
            </w:r>
          </w:p>
        </w:tc>
      </w:tr>
      <w:tr w14:paraId="104EC13F">
        <w:tblPrEx>
          <w:tblCellMar>
            <w:top w:w="0" w:type="dxa"/>
            <w:left w:w="45" w:type="dxa"/>
            <w:bottom w:w="0" w:type="dxa"/>
            <w:right w:w="45" w:type="dxa"/>
          </w:tblCellMar>
        </w:tblPrEx>
        <w:trPr>
          <w:trHeight w:val="569" w:hRule="atLeast"/>
          <w:jc w:val="center"/>
        </w:trPr>
        <w:tc>
          <w:tcPr>
            <w:tcW w:w="897" w:type="dxa"/>
            <w:tcBorders>
              <w:top w:val="single" w:color="000000" w:sz="2" w:space="0"/>
              <w:left w:val="single" w:color="000000" w:sz="6" w:space="0"/>
              <w:bottom w:val="single" w:color="000000" w:sz="2" w:space="0"/>
              <w:right w:val="single" w:color="000000" w:sz="2" w:space="0"/>
            </w:tcBorders>
            <w:vAlign w:val="center"/>
          </w:tcPr>
          <w:p w14:paraId="62D3B74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仿宋_GB2312" w:cs="仿宋_GB2312"/>
                <w:color w:val="000000"/>
                <w:sz w:val="28"/>
                <w:szCs w:val="28"/>
                <w:highlight w:val="none"/>
                <w:lang w:val="en-US" w:eastAsia="zh-CN" w:bidi="ar"/>
              </w:rPr>
              <w:t>2</w:t>
            </w:r>
          </w:p>
        </w:tc>
        <w:tc>
          <w:tcPr>
            <w:tcW w:w="1779" w:type="dxa"/>
            <w:tcBorders>
              <w:top w:val="single" w:color="000000" w:sz="2" w:space="0"/>
              <w:left w:val="single" w:color="000000" w:sz="6" w:space="0"/>
              <w:bottom w:val="single" w:color="000000" w:sz="2" w:space="0"/>
              <w:right w:val="single" w:color="000000" w:sz="2" w:space="0"/>
            </w:tcBorders>
            <w:vAlign w:val="center"/>
          </w:tcPr>
          <w:p w14:paraId="6F2A439A">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仿宋_GB2312" w:cs="仿宋_GB2312"/>
                <w:color w:val="000000"/>
                <w:sz w:val="28"/>
                <w:szCs w:val="28"/>
                <w:highlight w:val="none"/>
                <w:lang w:val="en-US" w:eastAsia="zh-CN" w:bidi="ar"/>
              </w:rPr>
              <w:t>婴幼儿服装</w:t>
            </w:r>
          </w:p>
        </w:tc>
        <w:tc>
          <w:tcPr>
            <w:tcW w:w="2173" w:type="dxa"/>
            <w:tcBorders>
              <w:top w:val="single" w:color="000000" w:sz="2" w:space="0"/>
              <w:left w:val="single" w:color="000000" w:sz="2" w:space="0"/>
              <w:bottom w:val="single" w:color="000000" w:sz="2" w:space="0"/>
              <w:right w:val="single" w:color="000000" w:sz="6" w:space="0"/>
            </w:tcBorders>
            <w:vAlign w:val="center"/>
          </w:tcPr>
          <w:p w14:paraId="437068FA">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仿宋_GB2312" w:cs="仿宋_GB2312"/>
                <w:color w:val="000000"/>
                <w:sz w:val="28"/>
                <w:szCs w:val="28"/>
                <w:highlight w:val="none"/>
                <w:lang w:val="en-US" w:eastAsia="zh-CN" w:bidi="ar"/>
              </w:rPr>
              <w:t>4</w:t>
            </w:r>
          </w:p>
        </w:tc>
        <w:tc>
          <w:tcPr>
            <w:tcW w:w="2173" w:type="dxa"/>
            <w:tcBorders>
              <w:top w:val="single" w:color="000000" w:sz="2" w:space="0"/>
              <w:left w:val="single" w:color="000000" w:sz="2" w:space="0"/>
              <w:bottom w:val="single" w:color="000000" w:sz="2" w:space="0"/>
              <w:right w:val="single" w:color="000000" w:sz="6" w:space="0"/>
            </w:tcBorders>
            <w:vAlign w:val="center"/>
          </w:tcPr>
          <w:p w14:paraId="4A78066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仿宋_GB2312" w:cs="仿宋_GB2312"/>
                <w:color w:val="000000"/>
                <w:sz w:val="28"/>
                <w:szCs w:val="28"/>
                <w:highlight w:val="none"/>
                <w:lang w:val="en-US" w:eastAsia="zh-CN" w:bidi="ar"/>
              </w:rPr>
              <w:t>3</w:t>
            </w:r>
          </w:p>
        </w:tc>
        <w:tc>
          <w:tcPr>
            <w:tcW w:w="2173" w:type="dxa"/>
            <w:tcBorders>
              <w:top w:val="single" w:color="000000" w:sz="2" w:space="0"/>
              <w:left w:val="single" w:color="000000" w:sz="2" w:space="0"/>
              <w:bottom w:val="single" w:color="000000" w:sz="2" w:space="0"/>
              <w:right w:val="single" w:color="000000" w:sz="6" w:space="0"/>
            </w:tcBorders>
            <w:vAlign w:val="center"/>
          </w:tcPr>
          <w:p w14:paraId="79997C9E">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仿宋_GB2312" w:cs="仿宋_GB2312"/>
                <w:color w:val="000000"/>
                <w:sz w:val="28"/>
                <w:szCs w:val="28"/>
                <w:highlight w:val="none"/>
                <w:lang w:val="en-US" w:eastAsia="zh-CN" w:bidi="ar"/>
              </w:rPr>
              <w:t>1</w:t>
            </w:r>
          </w:p>
        </w:tc>
      </w:tr>
      <w:tr w14:paraId="2EA20982">
        <w:tblPrEx>
          <w:tblCellMar>
            <w:top w:w="0" w:type="dxa"/>
            <w:left w:w="45" w:type="dxa"/>
            <w:bottom w:w="0" w:type="dxa"/>
            <w:right w:w="45" w:type="dxa"/>
          </w:tblCellMar>
        </w:tblPrEx>
        <w:trPr>
          <w:trHeight w:val="377" w:hRule="atLeast"/>
          <w:jc w:val="center"/>
        </w:trPr>
        <w:tc>
          <w:tcPr>
            <w:tcW w:w="9195" w:type="dxa"/>
            <w:gridSpan w:val="5"/>
            <w:tcBorders>
              <w:top w:val="single" w:color="000000" w:sz="2" w:space="0"/>
              <w:left w:val="single" w:color="000000" w:sz="6" w:space="0"/>
              <w:bottom w:val="single" w:color="000000" w:sz="6" w:space="0"/>
              <w:right w:val="single" w:color="000000" w:sz="6" w:space="0"/>
            </w:tcBorders>
            <w:vAlign w:val="center"/>
          </w:tcPr>
          <w:p w14:paraId="38584D8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left"/>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仿宋_GB2312" w:cs="仿宋_GB2312"/>
                <w:color w:val="000000"/>
                <w:sz w:val="24"/>
                <w:szCs w:val="24"/>
                <w:highlight w:val="none"/>
                <w:lang w:val="en-US" w:eastAsia="zh-CN" w:bidi="ar"/>
              </w:rPr>
              <w:t>注：如样品面积过小，可适当增加抽样数量，不得超过检验、复检的合理需要。</w:t>
            </w:r>
          </w:p>
        </w:tc>
      </w:tr>
    </w:tbl>
    <w:p w14:paraId="6CBBDB69">
      <w:pPr>
        <w:keepNext w:val="0"/>
        <w:keepLines w:val="0"/>
        <w:pageBreakBefore w:val="0"/>
        <w:kinsoku/>
        <w:wordWrap/>
        <w:overflowPunct/>
        <w:topLinePunct w:val="0"/>
        <w:autoSpaceDN/>
        <w:bidi w:val="0"/>
        <w:adjustRightInd/>
        <w:snapToGrid w:val="0"/>
        <w:spacing w:line="560" w:lineRule="exact"/>
        <w:textAlignment w:val="auto"/>
        <w:rPr>
          <w:szCs w:val="21"/>
        </w:rPr>
      </w:pPr>
    </w:p>
    <w:p w14:paraId="30F369DD">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2 检验依据</w:t>
      </w:r>
    </w:p>
    <w:tbl>
      <w:tblPr>
        <w:tblStyle w:val="1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53"/>
        <w:gridCol w:w="3988"/>
        <w:gridCol w:w="4246"/>
      </w:tblGrid>
      <w:tr w14:paraId="5AB32E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567" w:type="pct"/>
            <w:vAlign w:val="center"/>
          </w:tcPr>
          <w:p w14:paraId="3947371D">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序号</w:t>
            </w:r>
          </w:p>
        </w:tc>
        <w:tc>
          <w:tcPr>
            <w:tcW w:w="2147" w:type="pct"/>
            <w:vAlign w:val="center"/>
          </w:tcPr>
          <w:p w14:paraId="7C1A21F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检验项目</w:t>
            </w:r>
          </w:p>
        </w:tc>
        <w:tc>
          <w:tcPr>
            <w:tcW w:w="2284" w:type="pct"/>
            <w:vAlign w:val="center"/>
          </w:tcPr>
          <w:p w14:paraId="1196A13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检验方法</w:t>
            </w:r>
          </w:p>
        </w:tc>
      </w:tr>
      <w:tr w14:paraId="1B0F0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1040" w:type="dxa"/>
            <w:vAlign w:val="center"/>
          </w:tcPr>
          <w:p w14:paraId="26F93F66">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1</w:t>
            </w:r>
          </w:p>
        </w:tc>
        <w:tc>
          <w:tcPr>
            <w:tcW w:w="3939" w:type="dxa"/>
            <w:vAlign w:val="center"/>
          </w:tcPr>
          <w:p w14:paraId="4301EDC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甲醛含量</w:t>
            </w:r>
          </w:p>
        </w:tc>
        <w:tc>
          <w:tcPr>
            <w:tcW w:w="4195" w:type="dxa"/>
            <w:vAlign w:val="center"/>
          </w:tcPr>
          <w:p w14:paraId="3C0B5D8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2912.1—2009</w:t>
            </w:r>
          </w:p>
        </w:tc>
      </w:tr>
      <w:tr w14:paraId="17AEF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2B945FC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2</w:t>
            </w:r>
          </w:p>
        </w:tc>
        <w:tc>
          <w:tcPr>
            <w:tcW w:w="3939" w:type="dxa"/>
            <w:vAlign w:val="center"/>
          </w:tcPr>
          <w:p w14:paraId="762B5CD6">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pH值</w:t>
            </w:r>
          </w:p>
        </w:tc>
        <w:tc>
          <w:tcPr>
            <w:tcW w:w="4195" w:type="dxa"/>
            <w:vAlign w:val="center"/>
          </w:tcPr>
          <w:p w14:paraId="78956E2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7573—2009</w:t>
            </w:r>
          </w:p>
        </w:tc>
      </w:tr>
      <w:tr w14:paraId="4401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2EB4D30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3</w:t>
            </w:r>
          </w:p>
        </w:tc>
        <w:tc>
          <w:tcPr>
            <w:tcW w:w="3939" w:type="dxa"/>
            <w:vAlign w:val="center"/>
          </w:tcPr>
          <w:p w14:paraId="6A10866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可分解致癌芳香胺染料</w:t>
            </w:r>
          </w:p>
        </w:tc>
        <w:tc>
          <w:tcPr>
            <w:tcW w:w="4195" w:type="dxa"/>
            <w:vAlign w:val="center"/>
          </w:tcPr>
          <w:p w14:paraId="5B693306">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17592—2024</w:t>
            </w:r>
          </w:p>
          <w:p w14:paraId="5EF7357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23344—2009</w:t>
            </w:r>
          </w:p>
        </w:tc>
      </w:tr>
      <w:tr w14:paraId="473B3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058BEC6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4</w:t>
            </w:r>
          </w:p>
        </w:tc>
        <w:tc>
          <w:tcPr>
            <w:tcW w:w="3939" w:type="dxa"/>
            <w:vAlign w:val="center"/>
          </w:tcPr>
          <w:p w14:paraId="63F8826E">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耐水色牢度</w:t>
            </w:r>
          </w:p>
        </w:tc>
        <w:tc>
          <w:tcPr>
            <w:tcW w:w="4195" w:type="dxa"/>
            <w:vAlign w:val="center"/>
          </w:tcPr>
          <w:p w14:paraId="4FB0A873">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5713—2013</w:t>
            </w:r>
          </w:p>
        </w:tc>
      </w:tr>
      <w:tr w14:paraId="232D9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4510E3DC">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5</w:t>
            </w:r>
          </w:p>
        </w:tc>
        <w:tc>
          <w:tcPr>
            <w:tcW w:w="3939" w:type="dxa"/>
            <w:vAlign w:val="center"/>
          </w:tcPr>
          <w:p w14:paraId="34024551">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耐酸汗渍色牢度</w:t>
            </w:r>
          </w:p>
        </w:tc>
        <w:tc>
          <w:tcPr>
            <w:tcW w:w="4195" w:type="dxa"/>
            <w:vAlign w:val="center"/>
          </w:tcPr>
          <w:p w14:paraId="5629F876">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3922—2013</w:t>
            </w:r>
          </w:p>
        </w:tc>
      </w:tr>
      <w:tr w14:paraId="2EBF0C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2813961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6</w:t>
            </w:r>
          </w:p>
        </w:tc>
        <w:tc>
          <w:tcPr>
            <w:tcW w:w="3939" w:type="dxa"/>
            <w:vAlign w:val="center"/>
          </w:tcPr>
          <w:p w14:paraId="127177ED">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耐碱汗渍色牢度</w:t>
            </w:r>
          </w:p>
        </w:tc>
        <w:tc>
          <w:tcPr>
            <w:tcW w:w="4195" w:type="dxa"/>
            <w:vAlign w:val="center"/>
          </w:tcPr>
          <w:p w14:paraId="26127FD6">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3922—2013</w:t>
            </w:r>
          </w:p>
        </w:tc>
      </w:tr>
      <w:tr w14:paraId="6A351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72433FF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7</w:t>
            </w:r>
          </w:p>
        </w:tc>
        <w:tc>
          <w:tcPr>
            <w:tcW w:w="3939" w:type="dxa"/>
            <w:vAlign w:val="center"/>
          </w:tcPr>
          <w:p w14:paraId="18F8C45D">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耐干摩擦色牢度</w:t>
            </w:r>
          </w:p>
        </w:tc>
        <w:tc>
          <w:tcPr>
            <w:tcW w:w="4195" w:type="dxa"/>
            <w:vAlign w:val="center"/>
          </w:tcPr>
          <w:p w14:paraId="1A91E61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3920—2008</w:t>
            </w:r>
          </w:p>
        </w:tc>
      </w:tr>
      <w:tr w14:paraId="62173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40" w:type="dxa"/>
            <w:vAlign w:val="center"/>
          </w:tcPr>
          <w:p w14:paraId="12B5EDD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8</w:t>
            </w:r>
          </w:p>
        </w:tc>
        <w:tc>
          <w:tcPr>
            <w:tcW w:w="3939" w:type="dxa"/>
            <w:vAlign w:val="center"/>
          </w:tcPr>
          <w:p w14:paraId="6871D00E">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耐湿摩擦色牢度</w:t>
            </w:r>
          </w:p>
        </w:tc>
        <w:tc>
          <w:tcPr>
            <w:tcW w:w="4195" w:type="dxa"/>
            <w:vAlign w:val="center"/>
          </w:tcPr>
          <w:p w14:paraId="7147947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3920—2008</w:t>
            </w:r>
          </w:p>
        </w:tc>
      </w:tr>
      <w:tr w14:paraId="18455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2ED31C5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9</w:t>
            </w:r>
          </w:p>
        </w:tc>
        <w:tc>
          <w:tcPr>
            <w:tcW w:w="3939" w:type="dxa"/>
            <w:vAlign w:val="center"/>
          </w:tcPr>
          <w:p w14:paraId="73F441AC">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耐唾液色牢度</w:t>
            </w:r>
          </w:p>
        </w:tc>
        <w:tc>
          <w:tcPr>
            <w:tcW w:w="4195" w:type="dxa"/>
            <w:vAlign w:val="center"/>
          </w:tcPr>
          <w:p w14:paraId="7C88698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18886—2019</w:t>
            </w:r>
          </w:p>
        </w:tc>
      </w:tr>
      <w:tr w14:paraId="73B1CF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384AE57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10</w:t>
            </w:r>
          </w:p>
        </w:tc>
        <w:tc>
          <w:tcPr>
            <w:tcW w:w="3939" w:type="dxa"/>
            <w:vAlign w:val="center"/>
          </w:tcPr>
          <w:p w14:paraId="2C52679E">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纤维含量</w:t>
            </w:r>
          </w:p>
        </w:tc>
        <w:tc>
          <w:tcPr>
            <w:tcW w:w="4195" w:type="dxa"/>
            <w:vAlign w:val="center"/>
          </w:tcPr>
          <w:p w14:paraId="1A782B01">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FZ/T 01057.1—2007</w:t>
            </w:r>
          </w:p>
          <w:p w14:paraId="28DE3FA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FZ/T 01057.2—2007</w:t>
            </w:r>
          </w:p>
          <w:p w14:paraId="13B8F0D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FZ/T 01057.3—2007</w:t>
            </w:r>
          </w:p>
          <w:p w14:paraId="5805DD5C">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FZ/T 01057.4—2007</w:t>
            </w:r>
          </w:p>
          <w:p w14:paraId="3DC2309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FZ/T 01057.6—2007</w:t>
            </w:r>
          </w:p>
          <w:p w14:paraId="7CE168E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2910.1—2009</w:t>
            </w:r>
          </w:p>
          <w:p w14:paraId="68A0669D">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2910.2—2009</w:t>
            </w:r>
          </w:p>
          <w:p w14:paraId="4746D971">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2910.3—2009</w:t>
            </w:r>
          </w:p>
          <w:p w14:paraId="3BC1F648">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2910.4—2022</w:t>
            </w:r>
          </w:p>
          <w:p w14:paraId="652239D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2910.6—2009</w:t>
            </w:r>
          </w:p>
          <w:p w14:paraId="5624777C">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2910.7—2009</w:t>
            </w:r>
          </w:p>
          <w:p w14:paraId="376F6ED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2910.8—2009</w:t>
            </w:r>
          </w:p>
          <w:p w14:paraId="4C876FFE">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2910.11—2009</w:t>
            </w:r>
          </w:p>
          <w:p w14:paraId="28A7BFC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2910.12—2023</w:t>
            </w:r>
          </w:p>
          <w:p w14:paraId="26400133">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2910.18—2009</w:t>
            </w:r>
          </w:p>
          <w:p w14:paraId="6889A1EC">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2910.20—2009</w:t>
            </w:r>
          </w:p>
          <w:p w14:paraId="11448EB8">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2910.22—2009</w:t>
            </w:r>
          </w:p>
          <w:p w14:paraId="1069A743">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2910.101—2009</w:t>
            </w:r>
          </w:p>
          <w:p w14:paraId="543D63E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FZ/T 01101—2008</w:t>
            </w:r>
          </w:p>
          <w:p w14:paraId="70AFB6E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FZ/T 01112—2012</w:t>
            </w:r>
          </w:p>
          <w:p w14:paraId="744A1FD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FZ/T 01026—2017</w:t>
            </w:r>
          </w:p>
          <w:p w14:paraId="0BC72733">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FZ/T 30003—2009</w:t>
            </w:r>
          </w:p>
          <w:p w14:paraId="0898349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lang w:val="en-US" w:eastAsia="zh-CN"/>
              </w:rPr>
            </w:pPr>
            <w:r>
              <w:rPr>
                <w:rFonts w:hint="default" w:ascii="Times New Roman" w:hAnsi="Times New Roman" w:eastAsia="仿宋_GB2312" w:cs="仿宋_GB2312"/>
                <w:color w:val="000000"/>
                <w:sz w:val="28"/>
                <w:szCs w:val="28"/>
                <w:highlight w:val="none"/>
                <w:lang w:val="en-US" w:eastAsia="zh-CN" w:bidi="ar"/>
              </w:rPr>
              <w:t>FZ/T 30003—20</w:t>
            </w:r>
            <w:r>
              <w:rPr>
                <w:rFonts w:hint="eastAsia" w:eastAsia="仿宋_GB2312" w:cs="仿宋_GB2312"/>
                <w:color w:val="000000"/>
                <w:sz w:val="28"/>
                <w:szCs w:val="28"/>
                <w:highlight w:val="none"/>
                <w:lang w:val="en-US" w:eastAsia="zh-CN" w:bidi="ar"/>
              </w:rPr>
              <w:t>24</w:t>
            </w:r>
          </w:p>
          <w:p w14:paraId="7A2D3043">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16988—2013</w:t>
            </w:r>
          </w:p>
          <w:p w14:paraId="21E41083">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38015—2019</w:t>
            </w:r>
          </w:p>
        </w:tc>
      </w:tr>
      <w:tr w14:paraId="279404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07631428">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11</w:t>
            </w:r>
          </w:p>
        </w:tc>
        <w:tc>
          <w:tcPr>
            <w:tcW w:w="3939" w:type="dxa"/>
            <w:vAlign w:val="center"/>
          </w:tcPr>
          <w:p w14:paraId="7F08F1C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重金属</w:t>
            </w:r>
          </w:p>
        </w:tc>
        <w:tc>
          <w:tcPr>
            <w:tcW w:w="4195" w:type="dxa"/>
            <w:vAlign w:val="center"/>
          </w:tcPr>
          <w:p w14:paraId="153183A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30157—2013</w:t>
            </w:r>
          </w:p>
        </w:tc>
      </w:tr>
      <w:tr w14:paraId="635934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7485CE06">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12</w:t>
            </w:r>
          </w:p>
        </w:tc>
        <w:tc>
          <w:tcPr>
            <w:tcW w:w="3939" w:type="dxa"/>
            <w:vAlign w:val="center"/>
          </w:tcPr>
          <w:p w14:paraId="4C3DAB73">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邻苯二甲酸酯</w:t>
            </w:r>
          </w:p>
        </w:tc>
        <w:tc>
          <w:tcPr>
            <w:tcW w:w="4195" w:type="dxa"/>
            <w:vAlign w:val="center"/>
          </w:tcPr>
          <w:p w14:paraId="74E72A93">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20388—2016</w:t>
            </w:r>
          </w:p>
        </w:tc>
      </w:tr>
      <w:tr w14:paraId="5DEE6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703C159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13</w:t>
            </w:r>
          </w:p>
        </w:tc>
        <w:tc>
          <w:tcPr>
            <w:tcW w:w="3939" w:type="dxa"/>
            <w:vAlign w:val="center"/>
          </w:tcPr>
          <w:p w14:paraId="4C14B78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附件抗拉强力</w:t>
            </w:r>
          </w:p>
        </w:tc>
        <w:tc>
          <w:tcPr>
            <w:tcW w:w="4195" w:type="dxa"/>
            <w:vAlign w:val="center"/>
          </w:tcPr>
          <w:p w14:paraId="51D11A6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 31701—2015</w:t>
            </w:r>
          </w:p>
        </w:tc>
      </w:tr>
      <w:tr w14:paraId="3D4A5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1EEDCAC3">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14</w:t>
            </w:r>
          </w:p>
        </w:tc>
        <w:tc>
          <w:tcPr>
            <w:tcW w:w="3939" w:type="dxa"/>
            <w:vAlign w:val="center"/>
          </w:tcPr>
          <w:p w14:paraId="23885D1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绳带要求</w:t>
            </w:r>
          </w:p>
        </w:tc>
        <w:tc>
          <w:tcPr>
            <w:tcW w:w="4195" w:type="dxa"/>
            <w:vAlign w:val="center"/>
          </w:tcPr>
          <w:p w14:paraId="4167919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 31701—2015</w:t>
            </w:r>
          </w:p>
        </w:tc>
      </w:tr>
      <w:tr w14:paraId="56D15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6782C32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15</w:t>
            </w:r>
          </w:p>
        </w:tc>
        <w:tc>
          <w:tcPr>
            <w:tcW w:w="3939" w:type="dxa"/>
            <w:vAlign w:val="center"/>
          </w:tcPr>
          <w:p w14:paraId="1E84918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附件锐利性</w:t>
            </w:r>
          </w:p>
        </w:tc>
        <w:tc>
          <w:tcPr>
            <w:tcW w:w="4195" w:type="dxa"/>
            <w:vAlign w:val="center"/>
          </w:tcPr>
          <w:p w14:paraId="5ECF6E8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31702—2015</w:t>
            </w:r>
          </w:p>
        </w:tc>
      </w:tr>
      <w:tr w14:paraId="637DCB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38D9AAE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16</w:t>
            </w:r>
          </w:p>
        </w:tc>
        <w:tc>
          <w:tcPr>
            <w:tcW w:w="3939" w:type="dxa"/>
            <w:vAlign w:val="center"/>
          </w:tcPr>
          <w:p w14:paraId="117E338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羽绒含绒量</w:t>
            </w:r>
          </w:p>
        </w:tc>
        <w:tc>
          <w:tcPr>
            <w:tcW w:w="4195" w:type="dxa"/>
            <w:vAlign w:val="center"/>
          </w:tcPr>
          <w:p w14:paraId="318C03E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14272—2011</w:t>
            </w:r>
          </w:p>
        </w:tc>
      </w:tr>
      <w:tr w14:paraId="1B7C4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6BEBEB8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17</w:t>
            </w:r>
          </w:p>
        </w:tc>
        <w:tc>
          <w:tcPr>
            <w:tcW w:w="3939" w:type="dxa"/>
            <w:vAlign w:val="center"/>
          </w:tcPr>
          <w:p w14:paraId="54B8B07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绒子含量</w:t>
            </w:r>
          </w:p>
        </w:tc>
        <w:tc>
          <w:tcPr>
            <w:tcW w:w="4195" w:type="dxa"/>
            <w:vAlign w:val="center"/>
          </w:tcPr>
          <w:p w14:paraId="732F347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14272—2011</w:t>
            </w:r>
          </w:p>
          <w:p w14:paraId="7741FE7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14272—2021</w:t>
            </w:r>
          </w:p>
          <w:p w14:paraId="70C9670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10288—2016</w:t>
            </w:r>
          </w:p>
        </w:tc>
      </w:tr>
      <w:tr w14:paraId="3BEFE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099E6CF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18</w:t>
            </w:r>
          </w:p>
        </w:tc>
        <w:tc>
          <w:tcPr>
            <w:tcW w:w="3939" w:type="dxa"/>
            <w:vAlign w:val="center"/>
          </w:tcPr>
          <w:p w14:paraId="1DC645E6">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绒丝+羽丝</w:t>
            </w:r>
          </w:p>
        </w:tc>
        <w:tc>
          <w:tcPr>
            <w:tcW w:w="4195" w:type="dxa"/>
            <w:vAlign w:val="center"/>
          </w:tcPr>
          <w:p w14:paraId="42A849B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10288—2016</w:t>
            </w:r>
          </w:p>
          <w:p w14:paraId="0F2FB26C">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14272—2021</w:t>
            </w:r>
          </w:p>
        </w:tc>
      </w:tr>
      <w:tr w14:paraId="41EE7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7D3FBEA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19</w:t>
            </w:r>
          </w:p>
        </w:tc>
        <w:tc>
          <w:tcPr>
            <w:tcW w:w="3939" w:type="dxa"/>
            <w:vAlign w:val="center"/>
          </w:tcPr>
          <w:p w14:paraId="11814B7C">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鸭毛（绒）含量</w:t>
            </w:r>
          </w:p>
        </w:tc>
        <w:tc>
          <w:tcPr>
            <w:tcW w:w="4195" w:type="dxa"/>
            <w:vAlign w:val="center"/>
          </w:tcPr>
          <w:p w14:paraId="283986A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14272—2011</w:t>
            </w:r>
          </w:p>
        </w:tc>
      </w:tr>
      <w:tr w14:paraId="186DB1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73BAEC6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20</w:t>
            </w:r>
          </w:p>
        </w:tc>
        <w:tc>
          <w:tcPr>
            <w:tcW w:w="3939" w:type="dxa"/>
            <w:vAlign w:val="center"/>
          </w:tcPr>
          <w:p w14:paraId="650BCEC8">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鹅毛绒含量</w:t>
            </w:r>
          </w:p>
        </w:tc>
        <w:tc>
          <w:tcPr>
            <w:tcW w:w="4195" w:type="dxa"/>
            <w:vAlign w:val="center"/>
          </w:tcPr>
          <w:p w14:paraId="40CD5E2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10288—2016</w:t>
            </w:r>
          </w:p>
          <w:p w14:paraId="4F968475">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GB/T 14272—2021</w:t>
            </w:r>
          </w:p>
        </w:tc>
      </w:tr>
      <w:tr w14:paraId="19A17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4333227A">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21</w:t>
            </w:r>
          </w:p>
        </w:tc>
        <w:tc>
          <w:tcPr>
            <w:tcW w:w="3939" w:type="dxa"/>
            <w:vAlign w:val="center"/>
          </w:tcPr>
          <w:p w14:paraId="1BBE8A53">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异味</w:t>
            </w:r>
          </w:p>
        </w:tc>
        <w:tc>
          <w:tcPr>
            <w:tcW w:w="4195" w:type="dxa"/>
            <w:vAlign w:val="center"/>
          </w:tcPr>
          <w:p w14:paraId="77CD4A1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 18401—2010</w:t>
            </w:r>
          </w:p>
        </w:tc>
      </w:tr>
      <w:tr w14:paraId="3885F5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6307E6D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22</w:t>
            </w:r>
          </w:p>
        </w:tc>
        <w:tc>
          <w:tcPr>
            <w:tcW w:w="3939" w:type="dxa"/>
            <w:vAlign w:val="center"/>
          </w:tcPr>
          <w:p w14:paraId="4130EBA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金属针</w:t>
            </w:r>
          </w:p>
        </w:tc>
        <w:tc>
          <w:tcPr>
            <w:tcW w:w="4195" w:type="dxa"/>
            <w:vAlign w:val="center"/>
          </w:tcPr>
          <w:p w14:paraId="0CCD3C1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 xml:space="preserve">GB 31701—2015 </w:t>
            </w:r>
          </w:p>
        </w:tc>
      </w:tr>
      <w:tr w14:paraId="460F8A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0" w:type="dxa"/>
            <w:vAlign w:val="center"/>
          </w:tcPr>
          <w:p w14:paraId="5EB58EB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23</w:t>
            </w:r>
          </w:p>
        </w:tc>
        <w:tc>
          <w:tcPr>
            <w:tcW w:w="3939" w:type="dxa"/>
            <w:vAlign w:val="center"/>
          </w:tcPr>
          <w:p w14:paraId="1001622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耐久性标签缝制位置</w:t>
            </w:r>
          </w:p>
        </w:tc>
        <w:tc>
          <w:tcPr>
            <w:tcW w:w="4195" w:type="dxa"/>
            <w:vAlign w:val="center"/>
          </w:tcPr>
          <w:p w14:paraId="7BA2637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bidi="ar"/>
              </w:rPr>
            </w:pPr>
            <w:r>
              <w:rPr>
                <w:rFonts w:hint="default" w:ascii="Times New Roman" w:hAnsi="Times New Roman" w:eastAsia="仿宋_GB2312" w:cs="仿宋_GB2312"/>
                <w:color w:val="000000"/>
                <w:sz w:val="28"/>
                <w:szCs w:val="28"/>
                <w:highlight w:val="none"/>
                <w:lang w:val="en-US" w:eastAsia="zh-CN" w:bidi="ar"/>
              </w:rPr>
              <w:t>GB 31701—2015</w:t>
            </w:r>
          </w:p>
        </w:tc>
      </w:tr>
      <w:tr w14:paraId="292C2E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3"/>
            <w:vAlign w:val="center"/>
          </w:tcPr>
          <w:p w14:paraId="51A1D144">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备注：</w:t>
            </w:r>
          </w:p>
          <w:p w14:paraId="257A0A2A">
            <w:pPr>
              <w:keepNext w:val="0"/>
              <w:keepLines w:val="0"/>
              <w:pageBreakBefore w:val="0"/>
              <w:widowControl w:val="0"/>
              <w:numPr>
                <w:ilvl w:val="0"/>
                <w:numId w:val="1"/>
              </w:numPr>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产品使用说明标注的纤维含量不一致时，应以耐久标签标注的纤维含量进行考核。如果未标注产品主要原材料的纤维成分和含量，则纤维含量项目不判定。对于加工产品纤维含量项目不做判定。</w:t>
            </w:r>
          </w:p>
          <w:p w14:paraId="4EB06E1B">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考虑到样品存在的不均匀性和检验的可靠性，样品中检测出微量其他纤维（未明示）时，如果其他纤维（未明示）的含量≤0.5%，或样品明示含微量其他纤维而未检出时，该微量其他纤维不计入总量进行判定。</w:t>
            </w:r>
          </w:p>
          <w:p w14:paraId="0FFA5858">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色牢度试验采用单纤维贴衬，产品标准另有规定的，按产品标准执行。</w:t>
            </w:r>
          </w:p>
          <w:p w14:paraId="18F4BAB5">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针织产品耐摩擦色牢度只考核直向。</w:t>
            </w:r>
          </w:p>
          <w:p w14:paraId="0FC287FF">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 xml:space="preserve">产品未标注产品标准，标注产品标准不正确，或者无法获得明示的有效企业标准时，检测纤维含量以及GB </w:t>
            </w:r>
            <w:r>
              <w:rPr>
                <w:rFonts w:hint="eastAsia" w:cs="Times New Roman"/>
                <w:sz w:val="24"/>
                <w:szCs w:val="24"/>
                <w:lang w:val="en-US" w:eastAsia="zh-CN"/>
              </w:rPr>
              <w:t>31701</w:t>
            </w:r>
            <w:r>
              <w:rPr>
                <w:rFonts w:hint="eastAsia" w:ascii="Times New Roman" w:hAnsi="Times New Roman" w:eastAsia="宋体" w:cs="Times New Roman"/>
                <w:sz w:val="24"/>
                <w:szCs w:val="24"/>
              </w:rPr>
              <w:t>相关项目。</w:t>
            </w:r>
          </w:p>
          <w:p w14:paraId="761ECA13">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6.</w:t>
            </w:r>
            <w:r>
              <w:rPr>
                <w:rFonts w:hint="eastAsia" w:cs="Times New Roman"/>
                <w:sz w:val="24"/>
                <w:szCs w:val="24"/>
                <w:lang w:val="en-US" w:eastAsia="zh-CN"/>
              </w:rPr>
              <w:t xml:space="preserve"> </w:t>
            </w:r>
            <w:r>
              <w:rPr>
                <w:rFonts w:hint="eastAsia" w:ascii="Times New Roman" w:hAnsi="Times New Roman" w:eastAsia="宋体" w:cs="Times New Roman"/>
                <w:sz w:val="24"/>
                <w:szCs w:val="24"/>
              </w:rPr>
              <w:t>pH值的测定用0.1 mol/L 氯化钾溶液作为萃取介质。</w:t>
            </w:r>
          </w:p>
          <w:p w14:paraId="20AA5933">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仿宋_GB2312" w:cs="仿宋_GB2312"/>
                <w:color w:val="000000"/>
                <w:sz w:val="28"/>
                <w:szCs w:val="28"/>
                <w:highlight w:val="none"/>
                <w:lang w:val="en-US" w:eastAsia="zh-CN" w:bidi="ar"/>
              </w:rPr>
            </w:pPr>
            <w:r>
              <w:rPr>
                <w:rFonts w:hint="eastAsia" w:ascii="Times New Roman" w:hAnsi="Times New Roman" w:eastAsia="宋体" w:cs="Times New Roman"/>
                <w:sz w:val="24"/>
                <w:szCs w:val="24"/>
              </w:rPr>
              <w:t>7.</w:t>
            </w:r>
            <w:r>
              <w:rPr>
                <w:rFonts w:hint="eastAsia" w:cs="Times New Roman"/>
                <w:sz w:val="24"/>
                <w:szCs w:val="24"/>
                <w:lang w:val="en-US" w:eastAsia="zh-CN"/>
              </w:rPr>
              <w:t xml:space="preserve"> </w:t>
            </w:r>
            <w:r>
              <w:rPr>
                <w:rFonts w:hint="eastAsia" w:ascii="Times New Roman" w:hAnsi="Times New Roman" w:eastAsia="宋体" w:cs="Times New Roman"/>
                <w:sz w:val="24"/>
                <w:szCs w:val="24"/>
              </w:rPr>
              <w:t>只检测产品相应标准中有考核要求的项目。</w:t>
            </w:r>
          </w:p>
        </w:tc>
      </w:tr>
    </w:tbl>
    <w:p w14:paraId="4DFDE07C">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执行企业标准、团体标准、地方标准的产品，检验项目参照上述内容执行。</w:t>
      </w:r>
    </w:p>
    <w:p w14:paraId="56FAB3B7">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color w:val="auto"/>
          <w:sz w:val="32"/>
          <w:szCs w:val="32"/>
          <w:highlight w:val="none"/>
        </w:rPr>
        <w:t>凡是注日期的文件，其随后所有的修改单（不包括勘误的内容）或修订版不适用于本细则。凡是不注日期的文件，其最新版本适用于本细则。</w:t>
      </w:r>
    </w:p>
    <w:p w14:paraId="387CA0B0">
      <w:pPr>
        <w:keepNext w:val="0"/>
        <w:keepLines w:val="0"/>
        <w:pageBreakBefore w:val="0"/>
        <w:kinsoku/>
        <w:wordWrap/>
        <w:overflowPunct/>
        <w:topLinePunct w:val="0"/>
        <w:autoSpaceDN/>
        <w:bidi w:val="0"/>
        <w:adjustRightInd/>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3 判定规则</w:t>
      </w:r>
    </w:p>
    <w:p w14:paraId="1A259759">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3.1依据标准</w:t>
      </w:r>
    </w:p>
    <w:p w14:paraId="4310B72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2660—2017 衬衫</w:t>
      </w:r>
    </w:p>
    <w:p w14:paraId="3178F03B">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2662—2017 棉服装</w:t>
      </w:r>
    </w:p>
    <w:p w14:paraId="6A52CDD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2664—2017 男西服、大衣</w:t>
      </w:r>
    </w:p>
    <w:p w14:paraId="0A1CFAB5">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2665—2017 女西服、大衣</w:t>
      </w:r>
    </w:p>
    <w:p w14:paraId="55713CEB">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2666—2017 西裤</w:t>
      </w:r>
    </w:p>
    <w:p w14:paraId="24CF14F4">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8878—2023 针织内衣</w:t>
      </w:r>
    </w:p>
    <w:p w14:paraId="1011A636">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14272—2011 羽绒服装</w:t>
      </w:r>
    </w:p>
    <w:p w14:paraId="7EA6BFB7">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14272—2021 羽绒服装</w:t>
      </w:r>
    </w:p>
    <w:p w14:paraId="2D0B8FAD">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18132—2016 丝绸服装</w:t>
      </w:r>
    </w:p>
    <w:p w14:paraId="5D81CB9E">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22700—2016 水洗整理服装</w:t>
      </w:r>
    </w:p>
    <w:p w14:paraId="6F577D01">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22849—2024针织T恤衫</w:t>
      </w:r>
    </w:p>
    <w:p w14:paraId="3A75C98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22853—2019 针织运动服</w:t>
      </w:r>
    </w:p>
    <w:p w14:paraId="2CCDDB2F">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26384—2011 针织棉服装</w:t>
      </w:r>
    </w:p>
    <w:p w14:paraId="705E67C6">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26385—2011 针织拼接服装</w:t>
      </w:r>
    </w:p>
    <w:p w14:paraId="1505698A">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29862—2013 纺织品 纤维含量的标识</w:t>
      </w:r>
    </w:p>
    <w:p w14:paraId="1320B210">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 31701—2015 婴幼儿及儿童纺织产品安全技术规范</w:t>
      </w:r>
    </w:p>
    <w:p w14:paraId="2D914460">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31900—2015 机织儿童服装</w:t>
      </w:r>
    </w:p>
    <w:p w14:paraId="791AE9DE">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33271—2016 机织婴幼儿服装</w:t>
      </w:r>
    </w:p>
    <w:p w14:paraId="6B31A51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39508—2020 针织婴幼儿及儿童服装</w:t>
      </w:r>
    </w:p>
    <w:p w14:paraId="7EAD8148">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08001—2021 羊毛絮片服装</w:t>
      </w:r>
    </w:p>
    <w:p w14:paraId="5DD8F403">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08002—2022 新生儿纺织产品</w:t>
      </w:r>
    </w:p>
    <w:p w14:paraId="4B35F23F">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24019—2012 印花羊绒针织品</w:t>
      </w:r>
    </w:p>
    <w:p w14:paraId="6F9B3912">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24033—2022 全成型无缝毛针织服装</w:t>
      </w:r>
    </w:p>
    <w:p w14:paraId="3700898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43015—2021 桑蚕丝针织服装</w:t>
      </w:r>
    </w:p>
    <w:p w14:paraId="06D64767">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73005—2021 低含毛混纺及仿毛针织品</w:t>
      </w:r>
    </w:p>
    <w:p w14:paraId="1C1F02FD">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73009—2021 山羊绒针织品</w:t>
      </w:r>
    </w:p>
    <w:p w14:paraId="7BA8E95D">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73010—2016 针织工艺衫</w:t>
      </w:r>
    </w:p>
    <w:p w14:paraId="32CE5AE0">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73017—20</w:t>
      </w:r>
      <w:r>
        <w:rPr>
          <w:rFonts w:hint="eastAsia" w:ascii="Times New Roman" w:hAnsi="Times New Roman" w:eastAsia="仿宋_GB2312" w:cs="仿宋_GB2312"/>
          <w:sz w:val="32"/>
          <w:szCs w:val="40"/>
          <w:highlight w:val="none"/>
          <w:lang w:val="en-US" w:eastAsia="zh-CN"/>
        </w:rPr>
        <w:t>23</w:t>
      </w:r>
      <w:r>
        <w:rPr>
          <w:rFonts w:hint="eastAsia" w:ascii="Times New Roman" w:hAnsi="Times New Roman" w:eastAsia="仿宋_GB2312" w:cs="仿宋_GB2312"/>
          <w:sz w:val="32"/>
          <w:szCs w:val="40"/>
          <w:highlight w:val="none"/>
        </w:rPr>
        <w:t xml:space="preserve"> 针织家居服</w:t>
      </w:r>
    </w:p>
    <w:p w14:paraId="40083B4E">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73018—2021 毛针织品</w:t>
      </w:r>
    </w:p>
    <w:p w14:paraId="2F66382B">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73020—2019 针织休闲服装</w:t>
      </w:r>
    </w:p>
    <w:p w14:paraId="0C1B6343">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73022—2019 针织保暖内衣</w:t>
      </w:r>
    </w:p>
    <w:p w14:paraId="57F5147E">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73025—2019 婴幼儿针织服饰</w:t>
      </w:r>
    </w:p>
    <w:p w14:paraId="0E722D2A">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73026—2014 针织裙、裙套</w:t>
      </w:r>
    </w:p>
    <w:p w14:paraId="620B5BFC">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73029—2019 针织裤</w:t>
      </w:r>
    </w:p>
    <w:p w14:paraId="1B610AFE">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73032—2017 针织牛仔服装</w:t>
      </w:r>
    </w:p>
    <w:p w14:paraId="27061382">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73034—2021 半精纺毛针织品</w:t>
      </w:r>
    </w:p>
    <w:p w14:paraId="0C363723">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73043—2020 针织衬衫</w:t>
      </w:r>
    </w:p>
    <w:p w14:paraId="310E0C0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73052—2015水洗整理针织服装</w:t>
      </w:r>
    </w:p>
    <w:p w14:paraId="07B92E7D">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73053—2015 针织羽绒服装</w:t>
      </w:r>
    </w:p>
    <w:p w14:paraId="1484B5A1">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73056—2016 针织西服</w:t>
      </w:r>
    </w:p>
    <w:p w14:paraId="4325B451">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73058—2017 针织大衣</w:t>
      </w:r>
    </w:p>
    <w:p w14:paraId="37AE1B1B">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73059—2017 双面穿服装</w:t>
      </w:r>
    </w:p>
    <w:p w14:paraId="07500B4D">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73061—2019 针织茄克衫</w:t>
      </w:r>
    </w:p>
    <w:p w14:paraId="2DADB2D7">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73064—2019 针织西裤</w:t>
      </w:r>
    </w:p>
    <w:p w14:paraId="5BECF2F2">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81001—2016 睡衣套</w:t>
      </w:r>
    </w:p>
    <w:p w14:paraId="52E04446">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81004—2022 连衣裙、裙套</w:t>
      </w:r>
    </w:p>
    <w:p w14:paraId="4D070A90">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81006—2017 牛仔服装</w:t>
      </w:r>
    </w:p>
    <w:p w14:paraId="6244F64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81007—2022 单、夹服装</w:t>
      </w:r>
    </w:p>
    <w:p w14:paraId="05271B8F">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81008—2021 茄克衫</w:t>
      </w:r>
    </w:p>
    <w:p w14:paraId="4848D56E">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81010—2018 风衣</w:t>
      </w:r>
    </w:p>
    <w:p w14:paraId="3DC2CC30">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81019—2014 灯芯绒服装</w:t>
      </w:r>
    </w:p>
    <w:p w14:paraId="05EFC094">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现行有效的企业标准、团体标准、地方标准及产品明示质量要求</w:t>
      </w:r>
    </w:p>
    <w:p w14:paraId="01FDA23F">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3.2判定原则</w:t>
      </w:r>
    </w:p>
    <w:p w14:paraId="05624E90">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经检验，检验项目全部合格，判定为被抽查产品所检项目未发现不合格；检验项目中任一项或一项以上不合格，判定为被抽查产品不合格。</w:t>
      </w:r>
    </w:p>
    <w:p w14:paraId="32A8D64A">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若被检产品明示的质量要求高于本细则中检验项目依据的标准要求时，应按被检产品明示的质量要求判定。</w:t>
      </w:r>
    </w:p>
    <w:p w14:paraId="73DEB53A">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若被检产品明示的质量要求低于本细则中检验项目依据的强制性标准要求时，应按照强制性标准要求判定。</w:t>
      </w:r>
    </w:p>
    <w:p w14:paraId="22B89593">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若被检产品明示的质量要求低于或包含本细则中检验项目依据的推荐性标准要求时，应以被检产品明示的质量要求判定。</w:t>
      </w:r>
    </w:p>
    <w:p w14:paraId="1A1397C9">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若被检产品明示的质量要求缺少本细则中检验项目依据的强制性标准要求时，应按照强制性标准要求判定。</w:t>
      </w:r>
    </w:p>
    <w:p w14:paraId="51806D27">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rPr>
        <w:t>若被检产品明示的质量要求缺少本细则中检验项目依据的推荐性标准要求时，该项目不参与判定</w:t>
      </w:r>
      <w:r>
        <w:rPr>
          <w:rFonts w:hint="eastAsia" w:ascii="仿宋_GB2312" w:hAnsi="仿宋_GB2312" w:eastAsia="仿宋_GB2312" w:cs="仿宋_GB2312"/>
          <w:sz w:val="32"/>
          <w:szCs w:val="32"/>
          <w:lang w:eastAsia="zh-CN"/>
        </w:rPr>
        <w:t>。</w:t>
      </w:r>
    </w:p>
    <w:p w14:paraId="009CB8B4">
      <w:pPr>
        <w:spacing w:line="360" w:lineRule="auto"/>
        <w:jc w:val="left"/>
        <w:rPr>
          <w:rFonts w:hint="default" w:ascii="仿宋" w:hAnsi="仿宋" w:eastAsia="仿宋" w:cs="仿宋"/>
          <w:sz w:val="28"/>
          <w:szCs w:val="28"/>
          <w:lang w:val="en-US" w:eastAsia="zh-CN"/>
        </w:rPr>
      </w:pPr>
      <w:bookmarkStart w:id="0" w:name="_GoBack"/>
      <w:bookmarkEnd w:id="0"/>
    </w:p>
    <w:sectPr>
      <w:headerReference r:id="rId3" w:type="default"/>
      <w:footerReference r:id="rId4" w:type="default"/>
      <w:pgSz w:w="11907" w:h="16840"/>
      <w:pgMar w:top="1701" w:right="1418" w:bottom="1701" w:left="1418" w:header="567" w:footer="567"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D2E9BB37-1D23-4BA3-AF96-FE50DE8FE20D}"/>
  </w:font>
  <w:font w:name="Arial">
    <w:panose1 w:val="020B0604020202020204"/>
    <w:charset w:val="01"/>
    <w:family w:val="swiss"/>
    <w:pitch w:val="default"/>
    <w:sig w:usb0="E0002EFF" w:usb1="C000785B" w:usb2="00000009" w:usb3="00000000" w:csb0="400001FF" w:csb1="FFFF0000"/>
    <w:embedRegular r:id="rId2" w:fontKey="{514C5031-23FE-474F-98CC-ADBBC7388044}"/>
  </w:font>
  <w:font w:name="黑体">
    <w:panose1 w:val="02010609060101010101"/>
    <w:charset w:val="86"/>
    <w:family w:val="auto"/>
    <w:pitch w:val="default"/>
    <w:sig w:usb0="800002BF" w:usb1="38CF7CFA" w:usb2="00000016" w:usb3="00000000" w:csb0="00040001" w:csb1="00000000"/>
    <w:embedRegular r:id="rId3" w:fontKey="{841FC690-8F27-4B7A-8263-7700BC083706}"/>
  </w:font>
  <w:font w:name="Courier New">
    <w:panose1 w:val="02070309020205020404"/>
    <w:charset w:val="01"/>
    <w:family w:val="modern"/>
    <w:pitch w:val="default"/>
    <w:sig w:usb0="E0002EFF" w:usb1="C0007843" w:usb2="00000009" w:usb3="00000000" w:csb0="400001FF" w:csb1="FFFF0000"/>
    <w:embedRegular r:id="rId4" w:fontKey="{28CEDFE5-EDF6-4362-A046-AA09D3EBF791}"/>
  </w:font>
  <w:font w:name="Symbol">
    <w:panose1 w:val="05050102010706020507"/>
    <w:charset w:val="02"/>
    <w:family w:val="roman"/>
    <w:pitch w:val="default"/>
    <w:sig w:usb0="00000000" w:usb1="00000000" w:usb2="00000000" w:usb3="00000000" w:csb0="80000000" w:csb1="00000000"/>
    <w:embedRegular r:id="rId5" w:fontKey="{25FA60DA-52E0-4E12-BA33-C8C17C5057E0}"/>
  </w:font>
  <w:font w:name="Calibri">
    <w:panose1 w:val="020F0502020204030204"/>
    <w:charset w:val="00"/>
    <w:family w:val="swiss"/>
    <w:pitch w:val="default"/>
    <w:sig w:usb0="E4002EFF" w:usb1="C200247B" w:usb2="00000009" w:usb3="00000000" w:csb0="200001FF" w:csb1="00000000"/>
    <w:embedRegular r:id="rId6" w:fontKey="{439A4732-A179-4045-9549-93524E37B492}"/>
  </w:font>
  <w:font w:name="仿宋_GB2312">
    <w:panose1 w:val="02010609030101010101"/>
    <w:charset w:val="86"/>
    <w:family w:val="modern"/>
    <w:pitch w:val="default"/>
    <w:sig w:usb0="00000001" w:usb1="080E0000" w:usb2="00000000" w:usb3="00000000" w:csb0="00040000" w:csb1="00000000"/>
    <w:embedRegular r:id="rId7" w:fontKey="{B771E60D-D980-4D03-BC95-4F83E1DF75C5}"/>
  </w:font>
  <w:font w:name="方正小标宋简体">
    <w:panose1 w:val="02010601030101010101"/>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embedRegular r:id="rId8" w:fontKey="{0A1524E6-DB00-408C-9161-5ED490754CA6}"/>
  </w:font>
  <w:font w:name="仿宋">
    <w:panose1 w:val="02010609060101010101"/>
    <w:charset w:val="86"/>
    <w:family w:val="modern"/>
    <w:pitch w:val="default"/>
    <w:sig w:usb0="800002BF" w:usb1="38CF7CFA" w:usb2="00000016" w:usb3="00000000" w:csb0="00040001" w:csb1="00000000"/>
    <w:embedRegular r:id="rId9" w:fontKey="{75B34231-521B-46CC-9162-51669B3B1CC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1CEBD0">
    <w:pPr>
      <w:adjustRightInd/>
      <w:snapToGrid w:val="0"/>
      <w:spacing w:before="120" w:beforeLines="50" w:line="240" w:lineRule="auto"/>
      <w:textAlignment w:val="auto"/>
      <w:rPr>
        <w:rFonts w:hint="eastAsia" w:ascii="宋体" w:hAnsi="宋体"/>
        <w:kern w:val="2"/>
        <w:sz w:val="18"/>
        <w:szCs w:val="18"/>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1FFDC9">
    <w:pPr>
      <w:pStyle w:val="8"/>
      <w:pBdr>
        <w:bottom w:val="none" w:color="auto" w:sz="0" w:space="0"/>
      </w:pBdr>
      <w:rPr>
        <w:rFonts w:hint="eastAsia"/>
        <w:b/>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FCECC6E"/>
    <w:multiLevelType w:val="singleLevel"/>
    <w:tmpl w:val="EFCECC6E"/>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TrueType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k3M2U0ZDQ4YzMyZDhlMTI3OWMwYjE2N2QwMmUxMGEifQ=="/>
  </w:docVars>
  <w:rsids>
    <w:rsidRoot w:val="00172A27"/>
    <w:rsid w:val="000020BE"/>
    <w:rsid w:val="00002EA4"/>
    <w:rsid w:val="00026AB7"/>
    <w:rsid w:val="000321D9"/>
    <w:rsid w:val="00033C44"/>
    <w:rsid w:val="000351A4"/>
    <w:rsid w:val="00051A44"/>
    <w:rsid w:val="00054CA3"/>
    <w:rsid w:val="000565BF"/>
    <w:rsid w:val="00062195"/>
    <w:rsid w:val="0006305F"/>
    <w:rsid w:val="0006480C"/>
    <w:rsid w:val="00080B0F"/>
    <w:rsid w:val="00081CBD"/>
    <w:rsid w:val="00091170"/>
    <w:rsid w:val="00094FDF"/>
    <w:rsid w:val="000976DE"/>
    <w:rsid w:val="000B20DE"/>
    <w:rsid w:val="000C23F9"/>
    <w:rsid w:val="000C638E"/>
    <w:rsid w:val="000C6F9E"/>
    <w:rsid w:val="000F086E"/>
    <w:rsid w:val="000F50E2"/>
    <w:rsid w:val="00100E39"/>
    <w:rsid w:val="00121AE9"/>
    <w:rsid w:val="00137B98"/>
    <w:rsid w:val="00145FAF"/>
    <w:rsid w:val="00173AB6"/>
    <w:rsid w:val="001809DD"/>
    <w:rsid w:val="00182D02"/>
    <w:rsid w:val="001833D2"/>
    <w:rsid w:val="001843EC"/>
    <w:rsid w:val="001B39AB"/>
    <w:rsid w:val="001D0A41"/>
    <w:rsid w:val="00200008"/>
    <w:rsid w:val="00201BD3"/>
    <w:rsid w:val="002044CB"/>
    <w:rsid w:val="00213B1C"/>
    <w:rsid w:val="00232530"/>
    <w:rsid w:val="00244B61"/>
    <w:rsid w:val="00253624"/>
    <w:rsid w:val="00255A9C"/>
    <w:rsid w:val="0026017A"/>
    <w:rsid w:val="00276DAA"/>
    <w:rsid w:val="002A4261"/>
    <w:rsid w:val="002A5C25"/>
    <w:rsid w:val="002D5352"/>
    <w:rsid w:val="002D728A"/>
    <w:rsid w:val="002D7F8A"/>
    <w:rsid w:val="002E0D1D"/>
    <w:rsid w:val="003203A3"/>
    <w:rsid w:val="00331031"/>
    <w:rsid w:val="00342408"/>
    <w:rsid w:val="00352195"/>
    <w:rsid w:val="003562B2"/>
    <w:rsid w:val="00356736"/>
    <w:rsid w:val="00364A7D"/>
    <w:rsid w:val="00365CBE"/>
    <w:rsid w:val="003778E3"/>
    <w:rsid w:val="003932F4"/>
    <w:rsid w:val="00393F38"/>
    <w:rsid w:val="003A7133"/>
    <w:rsid w:val="003A7D30"/>
    <w:rsid w:val="003B056F"/>
    <w:rsid w:val="003B39FC"/>
    <w:rsid w:val="003C08EC"/>
    <w:rsid w:val="003C388C"/>
    <w:rsid w:val="003C7852"/>
    <w:rsid w:val="003D09A1"/>
    <w:rsid w:val="003E61BF"/>
    <w:rsid w:val="00405EC3"/>
    <w:rsid w:val="00405FF0"/>
    <w:rsid w:val="00410404"/>
    <w:rsid w:val="004104AC"/>
    <w:rsid w:val="00440A6B"/>
    <w:rsid w:val="00445E86"/>
    <w:rsid w:val="00456FC7"/>
    <w:rsid w:val="00474E04"/>
    <w:rsid w:val="004763D3"/>
    <w:rsid w:val="00494AA7"/>
    <w:rsid w:val="00496838"/>
    <w:rsid w:val="004C1A2A"/>
    <w:rsid w:val="004C2AC0"/>
    <w:rsid w:val="004D0C5A"/>
    <w:rsid w:val="004D184C"/>
    <w:rsid w:val="004D1A13"/>
    <w:rsid w:val="004E1396"/>
    <w:rsid w:val="004E4EA0"/>
    <w:rsid w:val="00512252"/>
    <w:rsid w:val="00545D75"/>
    <w:rsid w:val="00556726"/>
    <w:rsid w:val="00562335"/>
    <w:rsid w:val="00563EBC"/>
    <w:rsid w:val="00566937"/>
    <w:rsid w:val="00575ED0"/>
    <w:rsid w:val="00576FA4"/>
    <w:rsid w:val="005853E4"/>
    <w:rsid w:val="0058549D"/>
    <w:rsid w:val="00594B67"/>
    <w:rsid w:val="005B4095"/>
    <w:rsid w:val="005C3F57"/>
    <w:rsid w:val="005E5B21"/>
    <w:rsid w:val="005F53B8"/>
    <w:rsid w:val="00600B21"/>
    <w:rsid w:val="006011E8"/>
    <w:rsid w:val="00603630"/>
    <w:rsid w:val="006158A6"/>
    <w:rsid w:val="0062283B"/>
    <w:rsid w:val="006230A3"/>
    <w:rsid w:val="0062741F"/>
    <w:rsid w:val="00631525"/>
    <w:rsid w:val="00634F7B"/>
    <w:rsid w:val="006429DB"/>
    <w:rsid w:val="00671E42"/>
    <w:rsid w:val="006A5A14"/>
    <w:rsid w:val="006B2446"/>
    <w:rsid w:val="006B6A5F"/>
    <w:rsid w:val="006C7AA1"/>
    <w:rsid w:val="006D027E"/>
    <w:rsid w:val="006D35EF"/>
    <w:rsid w:val="006D72B9"/>
    <w:rsid w:val="006E1171"/>
    <w:rsid w:val="006F0971"/>
    <w:rsid w:val="006F3737"/>
    <w:rsid w:val="006F475E"/>
    <w:rsid w:val="00704110"/>
    <w:rsid w:val="00706A62"/>
    <w:rsid w:val="00711794"/>
    <w:rsid w:val="00722C59"/>
    <w:rsid w:val="00722E33"/>
    <w:rsid w:val="0072334C"/>
    <w:rsid w:val="00724899"/>
    <w:rsid w:val="007279BA"/>
    <w:rsid w:val="00731D9D"/>
    <w:rsid w:val="007343AF"/>
    <w:rsid w:val="00746A2D"/>
    <w:rsid w:val="007A2E48"/>
    <w:rsid w:val="007B29CC"/>
    <w:rsid w:val="007E0757"/>
    <w:rsid w:val="00812799"/>
    <w:rsid w:val="008137E9"/>
    <w:rsid w:val="00821EED"/>
    <w:rsid w:val="008522D1"/>
    <w:rsid w:val="00875C52"/>
    <w:rsid w:val="0089206E"/>
    <w:rsid w:val="00895BEA"/>
    <w:rsid w:val="008A3497"/>
    <w:rsid w:val="008B5D1D"/>
    <w:rsid w:val="008D36B1"/>
    <w:rsid w:val="008F582D"/>
    <w:rsid w:val="00907E27"/>
    <w:rsid w:val="00915A65"/>
    <w:rsid w:val="00917A54"/>
    <w:rsid w:val="00944EB9"/>
    <w:rsid w:val="00953E64"/>
    <w:rsid w:val="00956B78"/>
    <w:rsid w:val="00957BF8"/>
    <w:rsid w:val="00971DC3"/>
    <w:rsid w:val="009C2943"/>
    <w:rsid w:val="009D062D"/>
    <w:rsid w:val="009D2D88"/>
    <w:rsid w:val="009F24EF"/>
    <w:rsid w:val="009F50B6"/>
    <w:rsid w:val="00A00FD8"/>
    <w:rsid w:val="00A101CE"/>
    <w:rsid w:val="00A154F7"/>
    <w:rsid w:val="00A25C7E"/>
    <w:rsid w:val="00A43553"/>
    <w:rsid w:val="00A67F0D"/>
    <w:rsid w:val="00A71375"/>
    <w:rsid w:val="00A8267E"/>
    <w:rsid w:val="00A9383D"/>
    <w:rsid w:val="00A97488"/>
    <w:rsid w:val="00AC3CD3"/>
    <w:rsid w:val="00AC5391"/>
    <w:rsid w:val="00AD0012"/>
    <w:rsid w:val="00AD2C1C"/>
    <w:rsid w:val="00AE7FD1"/>
    <w:rsid w:val="00B047D1"/>
    <w:rsid w:val="00B23FC4"/>
    <w:rsid w:val="00B41B40"/>
    <w:rsid w:val="00B41BC0"/>
    <w:rsid w:val="00B44539"/>
    <w:rsid w:val="00B60639"/>
    <w:rsid w:val="00B745B2"/>
    <w:rsid w:val="00B85892"/>
    <w:rsid w:val="00B91E8D"/>
    <w:rsid w:val="00BA0992"/>
    <w:rsid w:val="00BB05E6"/>
    <w:rsid w:val="00BC3D40"/>
    <w:rsid w:val="00BE56DF"/>
    <w:rsid w:val="00BF0269"/>
    <w:rsid w:val="00BF2B8C"/>
    <w:rsid w:val="00C0517A"/>
    <w:rsid w:val="00C26074"/>
    <w:rsid w:val="00C26739"/>
    <w:rsid w:val="00C26EB8"/>
    <w:rsid w:val="00C340C7"/>
    <w:rsid w:val="00C43126"/>
    <w:rsid w:val="00C5048A"/>
    <w:rsid w:val="00C745B3"/>
    <w:rsid w:val="00C83B0A"/>
    <w:rsid w:val="00CB1E77"/>
    <w:rsid w:val="00CE0967"/>
    <w:rsid w:val="00CE1E0C"/>
    <w:rsid w:val="00CE277E"/>
    <w:rsid w:val="00D46923"/>
    <w:rsid w:val="00D536E3"/>
    <w:rsid w:val="00D56867"/>
    <w:rsid w:val="00D93108"/>
    <w:rsid w:val="00DB7867"/>
    <w:rsid w:val="00DC1235"/>
    <w:rsid w:val="00DC1F3F"/>
    <w:rsid w:val="00DC7EA2"/>
    <w:rsid w:val="00DF0117"/>
    <w:rsid w:val="00DF0CBF"/>
    <w:rsid w:val="00DF52A9"/>
    <w:rsid w:val="00E02A7F"/>
    <w:rsid w:val="00E07505"/>
    <w:rsid w:val="00E07880"/>
    <w:rsid w:val="00E13B3B"/>
    <w:rsid w:val="00E22F67"/>
    <w:rsid w:val="00E30AFF"/>
    <w:rsid w:val="00E33EDB"/>
    <w:rsid w:val="00E357AF"/>
    <w:rsid w:val="00E644B1"/>
    <w:rsid w:val="00E67161"/>
    <w:rsid w:val="00E7086B"/>
    <w:rsid w:val="00E82621"/>
    <w:rsid w:val="00E86ABD"/>
    <w:rsid w:val="00E9490D"/>
    <w:rsid w:val="00EB3587"/>
    <w:rsid w:val="00ED4402"/>
    <w:rsid w:val="00F13D01"/>
    <w:rsid w:val="00F30146"/>
    <w:rsid w:val="00F322B2"/>
    <w:rsid w:val="00F65A60"/>
    <w:rsid w:val="00F65F37"/>
    <w:rsid w:val="00F7607C"/>
    <w:rsid w:val="00F77C9A"/>
    <w:rsid w:val="00F80BE5"/>
    <w:rsid w:val="00FA71FC"/>
    <w:rsid w:val="00FA7BE3"/>
    <w:rsid w:val="00FB0D74"/>
    <w:rsid w:val="00FB4F65"/>
    <w:rsid w:val="00FB576C"/>
    <w:rsid w:val="00FD2AA6"/>
    <w:rsid w:val="00FE7E8A"/>
    <w:rsid w:val="00FF5DB5"/>
    <w:rsid w:val="017068EF"/>
    <w:rsid w:val="01F13434"/>
    <w:rsid w:val="025B3C7B"/>
    <w:rsid w:val="02B074AC"/>
    <w:rsid w:val="034E2A7F"/>
    <w:rsid w:val="04744480"/>
    <w:rsid w:val="048E56D2"/>
    <w:rsid w:val="04C335CE"/>
    <w:rsid w:val="05113B25"/>
    <w:rsid w:val="05342D0B"/>
    <w:rsid w:val="0607422C"/>
    <w:rsid w:val="073763B8"/>
    <w:rsid w:val="07391925"/>
    <w:rsid w:val="0A41763A"/>
    <w:rsid w:val="0A5D1DCF"/>
    <w:rsid w:val="0A6B3D13"/>
    <w:rsid w:val="0B1526A9"/>
    <w:rsid w:val="0B4B60CB"/>
    <w:rsid w:val="0DF742E8"/>
    <w:rsid w:val="0E306947"/>
    <w:rsid w:val="0E770F85"/>
    <w:rsid w:val="0F882908"/>
    <w:rsid w:val="0FEB39D9"/>
    <w:rsid w:val="1178129C"/>
    <w:rsid w:val="11B37150"/>
    <w:rsid w:val="121534BC"/>
    <w:rsid w:val="121D1E44"/>
    <w:rsid w:val="122431D2"/>
    <w:rsid w:val="128A5CDC"/>
    <w:rsid w:val="139C5FA3"/>
    <w:rsid w:val="13FA243C"/>
    <w:rsid w:val="141D612B"/>
    <w:rsid w:val="14552EB1"/>
    <w:rsid w:val="151A7336"/>
    <w:rsid w:val="152E36CE"/>
    <w:rsid w:val="16075995"/>
    <w:rsid w:val="165D6CB3"/>
    <w:rsid w:val="16FC296F"/>
    <w:rsid w:val="1711641B"/>
    <w:rsid w:val="172123D6"/>
    <w:rsid w:val="1783099B"/>
    <w:rsid w:val="180715CC"/>
    <w:rsid w:val="19063631"/>
    <w:rsid w:val="196D545F"/>
    <w:rsid w:val="19772DE4"/>
    <w:rsid w:val="19DF45AE"/>
    <w:rsid w:val="1A3A17E5"/>
    <w:rsid w:val="1A3B01F3"/>
    <w:rsid w:val="1B763F45"/>
    <w:rsid w:val="1BDD4B1E"/>
    <w:rsid w:val="1C2D5FD2"/>
    <w:rsid w:val="1D281406"/>
    <w:rsid w:val="1E7404B6"/>
    <w:rsid w:val="1EE771CB"/>
    <w:rsid w:val="204C04C4"/>
    <w:rsid w:val="210112AE"/>
    <w:rsid w:val="23757D3B"/>
    <w:rsid w:val="245C4A4D"/>
    <w:rsid w:val="25704604"/>
    <w:rsid w:val="26002AE2"/>
    <w:rsid w:val="265E3C10"/>
    <w:rsid w:val="2681079B"/>
    <w:rsid w:val="26962499"/>
    <w:rsid w:val="27C02A4C"/>
    <w:rsid w:val="28257C1A"/>
    <w:rsid w:val="285D48A0"/>
    <w:rsid w:val="287560DE"/>
    <w:rsid w:val="28857ADB"/>
    <w:rsid w:val="28ED58D1"/>
    <w:rsid w:val="298A1435"/>
    <w:rsid w:val="299C5651"/>
    <w:rsid w:val="29FF7627"/>
    <w:rsid w:val="2A8F1D25"/>
    <w:rsid w:val="2B111EB7"/>
    <w:rsid w:val="2B6F361E"/>
    <w:rsid w:val="2F2F348A"/>
    <w:rsid w:val="2FCC3360"/>
    <w:rsid w:val="2FD7142C"/>
    <w:rsid w:val="30357A05"/>
    <w:rsid w:val="30B92302"/>
    <w:rsid w:val="32AA2E28"/>
    <w:rsid w:val="350C1B78"/>
    <w:rsid w:val="355754E9"/>
    <w:rsid w:val="35643762"/>
    <w:rsid w:val="35D03732"/>
    <w:rsid w:val="36CC02E1"/>
    <w:rsid w:val="36FB1EA4"/>
    <w:rsid w:val="37341001"/>
    <w:rsid w:val="37666BF0"/>
    <w:rsid w:val="38AD1D4A"/>
    <w:rsid w:val="3ACF167E"/>
    <w:rsid w:val="3AE36897"/>
    <w:rsid w:val="3B1A3241"/>
    <w:rsid w:val="3B442E99"/>
    <w:rsid w:val="3CE37662"/>
    <w:rsid w:val="3E435396"/>
    <w:rsid w:val="3F650802"/>
    <w:rsid w:val="3FE67B95"/>
    <w:rsid w:val="400E0B31"/>
    <w:rsid w:val="423050F8"/>
    <w:rsid w:val="42693060"/>
    <w:rsid w:val="42B957FA"/>
    <w:rsid w:val="42C817D4"/>
    <w:rsid w:val="452B7DF8"/>
    <w:rsid w:val="45AD4CB1"/>
    <w:rsid w:val="45E5444B"/>
    <w:rsid w:val="460F4C99"/>
    <w:rsid w:val="46845A12"/>
    <w:rsid w:val="48C20C13"/>
    <w:rsid w:val="49172B6D"/>
    <w:rsid w:val="493556E9"/>
    <w:rsid w:val="49EF67B1"/>
    <w:rsid w:val="49F17A4A"/>
    <w:rsid w:val="4AB012E0"/>
    <w:rsid w:val="4BA3693A"/>
    <w:rsid w:val="4CC56D84"/>
    <w:rsid w:val="4DE81C5E"/>
    <w:rsid w:val="4ECC0AD3"/>
    <w:rsid w:val="4F952A3E"/>
    <w:rsid w:val="50C17863"/>
    <w:rsid w:val="50EE4AFC"/>
    <w:rsid w:val="51053BF3"/>
    <w:rsid w:val="51452242"/>
    <w:rsid w:val="52075749"/>
    <w:rsid w:val="54843BB7"/>
    <w:rsid w:val="56170651"/>
    <w:rsid w:val="56AB6FEB"/>
    <w:rsid w:val="56E47788"/>
    <w:rsid w:val="57AA1051"/>
    <w:rsid w:val="589F66DB"/>
    <w:rsid w:val="594B5AD2"/>
    <w:rsid w:val="596D0AC0"/>
    <w:rsid w:val="5B724982"/>
    <w:rsid w:val="5BDE751B"/>
    <w:rsid w:val="5E6C3504"/>
    <w:rsid w:val="5E745F14"/>
    <w:rsid w:val="5F93686E"/>
    <w:rsid w:val="613F0A5C"/>
    <w:rsid w:val="62595B4D"/>
    <w:rsid w:val="62D82F16"/>
    <w:rsid w:val="646507D9"/>
    <w:rsid w:val="64ED07CF"/>
    <w:rsid w:val="65664260"/>
    <w:rsid w:val="658630FD"/>
    <w:rsid w:val="66507A6C"/>
    <w:rsid w:val="68A35D74"/>
    <w:rsid w:val="68D62580"/>
    <w:rsid w:val="6A29596D"/>
    <w:rsid w:val="6A8F5B25"/>
    <w:rsid w:val="6A933BC6"/>
    <w:rsid w:val="6C007039"/>
    <w:rsid w:val="6DB8096F"/>
    <w:rsid w:val="6E427DDD"/>
    <w:rsid w:val="700F0193"/>
    <w:rsid w:val="702320AA"/>
    <w:rsid w:val="707D334E"/>
    <w:rsid w:val="70A46B2D"/>
    <w:rsid w:val="70EB650A"/>
    <w:rsid w:val="712A5284"/>
    <w:rsid w:val="72213F14"/>
    <w:rsid w:val="726C5429"/>
    <w:rsid w:val="737A2395"/>
    <w:rsid w:val="758331B5"/>
    <w:rsid w:val="769654A8"/>
    <w:rsid w:val="76D93F1F"/>
    <w:rsid w:val="76F31C74"/>
    <w:rsid w:val="784F166F"/>
    <w:rsid w:val="787153FD"/>
    <w:rsid w:val="7B3867F0"/>
    <w:rsid w:val="7B7A0BB6"/>
    <w:rsid w:val="7C490589"/>
    <w:rsid w:val="7C666DD4"/>
    <w:rsid w:val="7ED95BF4"/>
    <w:rsid w:val="7EED5AF9"/>
    <w:rsid w:val="7FFB603E"/>
    <w:rsid w:val="7FFC1EDC"/>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12">
    <w:name w:val="Default Paragraph Font"/>
    <w:semiHidden/>
    <w:qFormat/>
    <w:uiPriority w:val="0"/>
  </w:style>
  <w:style w:type="table" w:default="1" w:styleId="11">
    <w:name w:val="Normal Table"/>
    <w:unhideWhenUsed/>
    <w:qFormat/>
    <w:uiPriority w:val="99"/>
    <w:tblPr>
      <w:tblCellMar>
        <w:top w:w="0" w:type="dxa"/>
        <w:left w:w="108" w:type="dxa"/>
        <w:bottom w:w="0" w:type="dxa"/>
        <w:right w:w="108" w:type="dxa"/>
      </w:tblCellMar>
    </w:tblPr>
  </w:style>
  <w:style w:type="paragraph" w:styleId="2">
    <w:name w:val="Body Text"/>
    <w:next w:val="3"/>
    <w:qFormat/>
    <w:uiPriority w:val="0"/>
    <w:pPr>
      <w:widowControl w:val="0"/>
      <w:spacing w:after="120"/>
      <w:jc w:val="both"/>
    </w:pPr>
    <w:rPr>
      <w:rFonts w:ascii="Times New Roman" w:hAnsi="Times New Roman" w:eastAsia="仿宋_GB2312" w:cs="Times New Roman"/>
      <w:kern w:val="2"/>
      <w:sz w:val="30"/>
      <w:szCs w:val="24"/>
      <w:lang w:val="en-US" w:eastAsia="zh-CN" w:bidi="ar-SA"/>
    </w:rPr>
  </w:style>
  <w:style w:type="paragraph" w:styleId="3">
    <w:name w:val="Body Text First Indent"/>
    <w:next w:val="2"/>
    <w:qFormat/>
    <w:uiPriority w:val="0"/>
    <w:pPr>
      <w:widowControl w:val="0"/>
      <w:spacing w:after="120"/>
      <w:ind w:firstLine="720"/>
      <w:jc w:val="both"/>
    </w:pPr>
    <w:rPr>
      <w:rFonts w:ascii="Times New Roman" w:hAnsi="Times New Roman" w:eastAsia="仿宋_GB2312" w:cs="Times New Roman"/>
      <w:kern w:val="2"/>
      <w:sz w:val="30"/>
      <w:szCs w:val="24"/>
      <w:lang w:val="en-US" w:eastAsia="zh-CN" w:bidi="ar-SA"/>
    </w:rPr>
  </w:style>
  <w:style w:type="paragraph" w:styleId="5">
    <w:name w:val="annotation text"/>
    <w:basedOn w:val="1"/>
    <w:link w:val="16"/>
    <w:unhideWhenUsed/>
    <w:qFormat/>
    <w:uiPriority w:val="99"/>
    <w:pPr>
      <w:jc w:val="left"/>
    </w:pPr>
  </w:style>
  <w:style w:type="paragraph" w:styleId="6">
    <w:name w:val="Balloon Text"/>
    <w:basedOn w:val="1"/>
    <w:link w:val="17"/>
    <w:unhideWhenUsed/>
    <w:qFormat/>
    <w:uiPriority w:val="99"/>
    <w:rPr>
      <w:sz w:val="18"/>
      <w:szCs w:val="18"/>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Normal (Web)"/>
    <w:basedOn w:val="1"/>
    <w:unhideWhenUsed/>
    <w:qFormat/>
    <w:uiPriority w:val="0"/>
    <w:pPr>
      <w:spacing w:before="100" w:beforeAutospacing="1" w:after="100" w:afterAutospacing="1"/>
      <w:ind w:left="0" w:right="0"/>
      <w:jc w:val="left"/>
    </w:pPr>
    <w:rPr>
      <w:kern w:val="0"/>
      <w:sz w:val="24"/>
      <w:lang w:val="en-US" w:eastAsia="zh-CN" w:bidi="ar"/>
    </w:rPr>
  </w:style>
  <w:style w:type="paragraph" w:styleId="10">
    <w:name w:val="annotation subject"/>
    <w:basedOn w:val="5"/>
    <w:next w:val="5"/>
    <w:link w:val="20"/>
    <w:unhideWhenUsed/>
    <w:qFormat/>
    <w:uiPriority w:val="99"/>
    <w:rPr>
      <w:b/>
      <w:bCs/>
    </w:rPr>
  </w:style>
  <w:style w:type="character" w:styleId="13">
    <w:name w:val="Strong"/>
    <w:qFormat/>
    <w:uiPriority w:val="22"/>
    <w:rPr>
      <w:b/>
      <w:bCs/>
    </w:rPr>
  </w:style>
  <w:style w:type="character" w:styleId="14">
    <w:name w:val="page number"/>
    <w:qFormat/>
    <w:uiPriority w:val="0"/>
  </w:style>
  <w:style w:type="character" w:styleId="15">
    <w:name w:val="annotation reference"/>
    <w:unhideWhenUsed/>
    <w:qFormat/>
    <w:uiPriority w:val="99"/>
    <w:rPr>
      <w:sz w:val="21"/>
      <w:szCs w:val="21"/>
    </w:rPr>
  </w:style>
  <w:style w:type="character" w:customStyle="1" w:styleId="16">
    <w:name w:val="批注文字 字符"/>
    <w:link w:val="5"/>
    <w:qFormat/>
    <w:uiPriority w:val="99"/>
    <w:rPr>
      <w:kern w:val="2"/>
      <w:sz w:val="21"/>
      <w:szCs w:val="24"/>
    </w:rPr>
  </w:style>
  <w:style w:type="character" w:customStyle="1" w:styleId="17">
    <w:name w:val="批注框文本 字符"/>
    <w:link w:val="6"/>
    <w:semiHidden/>
    <w:qFormat/>
    <w:uiPriority w:val="99"/>
    <w:rPr>
      <w:kern w:val="2"/>
      <w:sz w:val="18"/>
      <w:szCs w:val="18"/>
    </w:rPr>
  </w:style>
  <w:style w:type="character" w:customStyle="1" w:styleId="18">
    <w:name w:val="页脚 字符"/>
    <w:link w:val="7"/>
    <w:qFormat/>
    <w:uiPriority w:val="99"/>
    <w:rPr>
      <w:kern w:val="2"/>
      <w:sz w:val="18"/>
      <w:szCs w:val="18"/>
    </w:rPr>
  </w:style>
  <w:style w:type="character" w:customStyle="1" w:styleId="19">
    <w:name w:val="页眉 字符"/>
    <w:link w:val="8"/>
    <w:semiHidden/>
    <w:qFormat/>
    <w:uiPriority w:val="99"/>
    <w:rPr>
      <w:kern w:val="2"/>
      <w:sz w:val="18"/>
      <w:szCs w:val="18"/>
    </w:rPr>
  </w:style>
  <w:style w:type="character" w:customStyle="1" w:styleId="20">
    <w:name w:val="批注主题 字符"/>
    <w:link w:val="10"/>
    <w:semiHidden/>
    <w:qFormat/>
    <w:uiPriority w:val="99"/>
    <w:rPr>
      <w:b/>
      <w:bCs/>
      <w:kern w:val="2"/>
      <w:sz w:val="21"/>
      <w:szCs w:val="24"/>
    </w:rPr>
  </w:style>
  <w:style w:type="paragraph" w:customStyle="1" w:styleId="21">
    <w:name w:val="列出段落1"/>
    <w:basedOn w:val="1"/>
    <w:qFormat/>
    <w:uiPriority w:val="34"/>
    <w:pPr>
      <w:ind w:firstLine="420" w:firstLineChars="200"/>
    </w:pPr>
    <w:rPr>
      <w:rFonts w:ascii="Calibri" w:hAnsi="Calibri"/>
      <w:szCs w:val="22"/>
    </w:rPr>
  </w:style>
  <w:style w:type="paragraph" w:customStyle="1" w:styleId="22">
    <w:name w:val="_Style 19"/>
    <w:unhideWhenUsed/>
    <w:qFormat/>
    <w:uiPriority w:val="99"/>
    <w:rPr>
      <w:rFonts w:ascii="Times New Roman" w:hAnsi="Times New Roman" w:eastAsia="宋体" w:cs="Times New Roman"/>
      <w:kern w:val="2"/>
      <w:sz w:val="21"/>
      <w:szCs w:val="24"/>
      <w:lang w:val="en-US" w:eastAsia="zh-CN" w:bidi="ar-SA"/>
    </w:rPr>
  </w:style>
  <w:style w:type="paragraph" w:styleId="23">
    <w:name w:val="List Paragraph"/>
    <w:basedOn w:val="1"/>
    <w:qFormat/>
    <w:uiPriority w:val="34"/>
    <w:pPr>
      <w:adjustRightInd/>
      <w:spacing w:line="240" w:lineRule="auto"/>
      <w:ind w:firstLine="420" w:firstLineChars="200"/>
      <w:jc w:val="both"/>
      <w:textAlignment w:val="auto"/>
    </w:pPr>
    <w:rPr>
      <w:rFonts w:ascii="Calibri" w:hAnsi="Calibri"/>
      <w:kern w:val="2"/>
      <w:sz w:val="21"/>
      <w:szCs w:val="22"/>
    </w:rPr>
  </w:style>
  <w:style w:type="character" w:customStyle="1" w:styleId="24">
    <w:name w:val="font11"/>
    <w:basedOn w:val="12"/>
    <w:qFormat/>
    <w:uiPriority w:val="0"/>
    <w:rPr>
      <w:rFonts w:hint="default" w:ascii="Times New Roman" w:hAnsi="Times New Roman" w:cs="Times New Roman"/>
      <w:color w:val="000000"/>
      <w:sz w:val="21"/>
      <w:szCs w:val="21"/>
      <w:u w:val="none"/>
    </w:rPr>
  </w:style>
  <w:style w:type="character" w:customStyle="1" w:styleId="25">
    <w:name w:val="font31"/>
    <w:basedOn w:val="12"/>
    <w:qFormat/>
    <w:uiPriority w:val="0"/>
    <w:rPr>
      <w:rFonts w:hint="eastAsia" w:ascii="宋体" w:hAnsi="宋体" w:eastAsia="宋体" w:cs="宋体"/>
      <w:color w:val="000000"/>
      <w:sz w:val="21"/>
      <w:szCs w:val="21"/>
      <w:u w:val="none"/>
    </w:rPr>
  </w:style>
  <w:style w:type="character" w:customStyle="1" w:styleId="26">
    <w:name w:val="font41"/>
    <w:basedOn w:val="12"/>
    <w:qFormat/>
    <w:uiPriority w:val="0"/>
    <w:rPr>
      <w:rFonts w:hint="default" w:ascii="Times New Roman" w:hAnsi="Times New Roman" w:cs="Times New Roman"/>
      <w:color w:val="000000"/>
      <w:sz w:val="21"/>
      <w:szCs w:val="21"/>
      <w:u w:val="none"/>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Legend (Beijing) Limited</Company>
  <Pages>7</Pages>
  <Words>2745</Words>
  <Characters>4220</Characters>
  <Lines>10</Lines>
  <Paragraphs>2</Paragraphs>
  <TotalTime>19</TotalTime>
  <ScaleCrop>false</ScaleCrop>
  <LinksUpToDate>false</LinksUpToDate>
  <CharactersWithSpaces>4418</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2024-03-07T01:39:00Z</dcterms:created>
  <dc:creator>Legend User</dc:creator>
  <cp:lastModifiedBy>cui</cp:lastModifiedBy>
  <cp:lastPrinted>2019-12-05T07:53:00Z</cp:lastPrinted>
  <dcterms:modified xsi:type="dcterms:W3CDTF">2026-02-04T03:45:38Z</dcterms:modified>
  <dc:title>××产品质量监督抽查实施细则</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SaveFontToCloudKey">
    <vt:lpwstr>550453206_embed</vt:lpwstr>
  </property>
  <property fmtid="{D5CDD505-2E9C-101B-9397-08002B2CF9AE}" pid="4" name="ICV">
    <vt:lpwstr>35B1C4EFB4B047E5854399A72539E7E5_13</vt:lpwstr>
  </property>
  <property fmtid="{D5CDD505-2E9C-101B-9397-08002B2CF9AE}" pid="5" name="KSOTemplateDocerSaveRecord">
    <vt:lpwstr>eyJoZGlkIjoiMDk3M2U0ZDQ4YzMyZDhlMTI3OWMwYjE2N2QwMmUxMGEiLCJ1c2VySWQiOiI0Mjk3ODY0MzAifQ==</vt:lpwstr>
  </property>
</Properties>
</file>