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0" w:lineRule="exact"/>
        <w:jc w:val="center"/>
        <w:rPr>
          <w:rFonts w:eastAsia="方正小标宋简体"/>
          <w:color w:val="000000"/>
          <w:sz w:val="44"/>
          <w:szCs w:val="44"/>
        </w:rPr>
      </w:pPr>
      <w:r>
        <w:rPr>
          <w:rFonts w:hint="eastAsia" w:eastAsia="方正小标宋简体"/>
          <w:color w:val="000000"/>
          <w:sz w:val="44"/>
          <w:szCs w:val="44"/>
        </w:rPr>
        <w:t>东莞市电动自行车电池产品</w:t>
      </w:r>
      <w:r>
        <w:rPr>
          <w:rFonts w:eastAsia="方正小标宋简体"/>
          <w:color w:val="000000"/>
          <w:sz w:val="44"/>
          <w:szCs w:val="44"/>
        </w:rPr>
        <w:t>质量监督抽查实施细则</w:t>
      </w:r>
    </w:p>
    <w:p>
      <w:pPr>
        <w:adjustRightInd w:val="0"/>
        <w:snapToGrid w:val="0"/>
        <w:spacing w:line="590" w:lineRule="exact"/>
        <w:jc w:val="center"/>
        <w:rPr>
          <w:rFonts w:eastAsia="楷体_GB2312"/>
          <w:color w:val="000000"/>
          <w:szCs w:val="32"/>
        </w:rPr>
      </w:pPr>
      <w:r>
        <w:rPr>
          <w:rFonts w:eastAsia="楷体_GB2312"/>
          <w:color w:val="000000"/>
          <w:szCs w:val="32"/>
        </w:rPr>
        <w:t>（202</w:t>
      </w:r>
      <w:r>
        <w:rPr>
          <w:rFonts w:hint="eastAsia" w:eastAsia="楷体_GB2312"/>
          <w:color w:val="000000"/>
          <w:szCs w:val="32"/>
          <w:lang w:val="en-US" w:eastAsia="zh-CN"/>
        </w:rPr>
        <w:t>6</w:t>
      </w:r>
      <w:r>
        <w:rPr>
          <w:rFonts w:eastAsia="楷体_GB2312"/>
          <w:color w:val="000000"/>
          <w:szCs w:val="32"/>
        </w:rPr>
        <w:t>年版）</w:t>
      </w:r>
    </w:p>
    <w:p>
      <w:pPr>
        <w:snapToGrid w:val="0"/>
        <w:spacing w:line="590" w:lineRule="exact"/>
        <w:rPr>
          <w:color w:val="000000"/>
          <w:szCs w:val="32"/>
        </w:rPr>
      </w:pPr>
    </w:p>
    <w:p>
      <w:pPr>
        <w:spacing w:line="560" w:lineRule="exact"/>
        <w:ind w:firstLine="640" w:firstLineChars="200"/>
        <w:rPr>
          <w:rFonts w:eastAsia="黑体"/>
          <w:szCs w:val="40"/>
        </w:rPr>
      </w:pPr>
      <w:r>
        <w:rPr>
          <w:rFonts w:eastAsia="黑体"/>
          <w:szCs w:val="40"/>
        </w:rPr>
        <w:t>1 抽样方法</w:t>
      </w:r>
    </w:p>
    <w:p>
      <w:pPr>
        <w:widowControl/>
        <w:spacing w:line="560" w:lineRule="exact"/>
        <w:ind w:firstLine="640" w:firstLineChars="200"/>
        <w:rPr>
          <w:kern w:val="0"/>
          <w:szCs w:val="32"/>
        </w:rPr>
      </w:pPr>
      <w:r>
        <w:rPr>
          <w:rFonts w:hint="eastAsia"/>
          <w:kern w:val="0"/>
          <w:szCs w:val="32"/>
        </w:rPr>
        <w:t>以随机抽样的方式在被抽样生产者、销售者的待销产品中抽取。</w:t>
      </w:r>
    </w:p>
    <w:p>
      <w:pPr>
        <w:spacing w:line="560" w:lineRule="exact"/>
        <w:ind w:firstLine="640" w:firstLineChars="200"/>
        <w:rPr>
          <w:szCs w:val="40"/>
        </w:rPr>
      </w:pPr>
      <w:r>
        <w:rPr>
          <w:szCs w:val="40"/>
        </w:rPr>
        <w:t>随机数一般可使用随机数表等方法产生。</w:t>
      </w:r>
    </w:p>
    <w:p>
      <w:pPr>
        <w:spacing w:line="560" w:lineRule="exact"/>
        <w:ind w:firstLine="640" w:firstLineChars="200"/>
        <w:rPr>
          <w:szCs w:val="40"/>
        </w:rPr>
      </w:pPr>
      <w:r>
        <w:rPr>
          <w:szCs w:val="40"/>
        </w:rPr>
        <w:t>每款产品抽取2组样本，第1组用于检验，第2组用于备样。</w:t>
      </w:r>
    </w:p>
    <w:p>
      <w:pPr>
        <w:spacing w:line="560" w:lineRule="exact"/>
        <w:ind w:firstLine="640" w:firstLineChars="200"/>
        <w:rPr>
          <w:szCs w:val="40"/>
        </w:rPr>
      </w:pPr>
      <w:r>
        <w:rPr>
          <w:szCs w:val="40"/>
        </w:rPr>
        <w:t>每组样本需抽取样品数量如下表所示：</w:t>
      </w:r>
    </w:p>
    <w:tbl>
      <w:tblPr>
        <w:tblStyle w:val="5"/>
        <w:tblW w:w="90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
        <w:gridCol w:w="2245"/>
        <w:gridCol w:w="2584"/>
        <w:gridCol w:w="1691"/>
        <w:gridCol w:w="1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92" w:type="dxa"/>
            <w:shd w:val="clear" w:color="auto" w:fill="auto"/>
            <w:noWrap w:val="0"/>
            <w:vAlign w:val="center"/>
          </w:tcPr>
          <w:p>
            <w:pPr>
              <w:spacing w:line="560" w:lineRule="exact"/>
              <w:jc w:val="center"/>
              <w:rPr>
                <w:b/>
                <w:bCs/>
                <w:sz w:val="28"/>
                <w:lang w:bidi="ar"/>
              </w:rPr>
            </w:pPr>
            <w:r>
              <w:rPr>
                <w:b/>
                <w:bCs/>
                <w:sz w:val="28"/>
                <w:lang w:bidi="ar"/>
              </w:rPr>
              <w:t>序号</w:t>
            </w:r>
          </w:p>
        </w:tc>
        <w:tc>
          <w:tcPr>
            <w:tcW w:w="4829" w:type="dxa"/>
            <w:gridSpan w:val="2"/>
            <w:shd w:val="clear" w:color="auto" w:fill="auto"/>
            <w:noWrap w:val="0"/>
            <w:vAlign w:val="center"/>
          </w:tcPr>
          <w:p>
            <w:pPr>
              <w:spacing w:line="560" w:lineRule="exact"/>
              <w:jc w:val="center"/>
              <w:rPr>
                <w:b/>
                <w:bCs/>
                <w:sz w:val="28"/>
                <w:lang w:bidi="ar"/>
              </w:rPr>
            </w:pPr>
            <w:r>
              <w:rPr>
                <w:b/>
                <w:bCs/>
                <w:sz w:val="28"/>
                <w:lang w:bidi="ar"/>
              </w:rPr>
              <w:t>产品名称</w:t>
            </w:r>
          </w:p>
        </w:tc>
        <w:tc>
          <w:tcPr>
            <w:tcW w:w="1691" w:type="dxa"/>
            <w:shd w:val="clear" w:color="auto" w:fill="auto"/>
            <w:noWrap w:val="0"/>
            <w:vAlign w:val="center"/>
          </w:tcPr>
          <w:p>
            <w:pPr>
              <w:spacing w:line="560" w:lineRule="exact"/>
              <w:jc w:val="center"/>
              <w:rPr>
                <w:b/>
                <w:bCs/>
                <w:sz w:val="28"/>
                <w:lang w:bidi="ar"/>
              </w:rPr>
            </w:pPr>
            <w:r>
              <w:rPr>
                <w:b/>
                <w:bCs/>
                <w:sz w:val="28"/>
                <w:lang w:bidi="ar"/>
              </w:rPr>
              <w:t>第1组数量（款）</w:t>
            </w:r>
          </w:p>
        </w:tc>
        <w:tc>
          <w:tcPr>
            <w:tcW w:w="1645" w:type="dxa"/>
            <w:shd w:val="clear" w:color="auto" w:fill="auto"/>
            <w:noWrap w:val="0"/>
            <w:vAlign w:val="center"/>
          </w:tcPr>
          <w:p>
            <w:pPr>
              <w:spacing w:line="560" w:lineRule="exact"/>
              <w:jc w:val="center"/>
              <w:rPr>
                <w:b/>
                <w:bCs/>
                <w:sz w:val="28"/>
                <w:lang w:bidi="ar"/>
              </w:rPr>
            </w:pPr>
            <w:r>
              <w:rPr>
                <w:b/>
                <w:bCs/>
                <w:sz w:val="28"/>
                <w:lang w:bidi="ar"/>
              </w:rPr>
              <w:t>第2组数量（款）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trPr>
        <w:tc>
          <w:tcPr>
            <w:tcW w:w="892" w:type="dxa"/>
            <w:shd w:val="clear" w:color="auto" w:fill="auto"/>
            <w:noWrap w:val="0"/>
            <w:vAlign w:val="center"/>
          </w:tcPr>
          <w:p>
            <w:pPr>
              <w:spacing w:line="560" w:lineRule="exact"/>
              <w:jc w:val="center"/>
              <w:rPr>
                <w:color w:val="000000"/>
                <w:sz w:val="28"/>
              </w:rPr>
            </w:pPr>
            <w:r>
              <w:rPr>
                <w:rFonts w:hint="eastAsia"/>
                <w:color w:val="000000"/>
                <w:sz w:val="28"/>
              </w:rPr>
              <w:t>1</w:t>
            </w:r>
          </w:p>
        </w:tc>
        <w:tc>
          <w:tcPr>
            <w:tcW w:w="2245" w:type="dxa"/>
            <w:shd w:val="clear" w:color="auto" w:fill="auto"/>
            <w:noWrap w:val="0"/>
            <w:vAlign w:val="center"/>
          </w:tcPr>
          <w:p>
            <w:pPr>
              <w:spacing w:line="560" w:lineRule="exact"/>
              <w:jc w:val="center"/>
              <w:rPr>
                <w:color w:val="000000"/>
                <w:sz w:val="28"/>
              </w:rPr>
            </w:pPr>
            <w:r>
              <w:rPr>
                <w:rFonts w:hint="eastAsia"/>
                <w:color w:val="000000"/>
                <w:sz w:val="28"/>
              </w:rPr>
              <w:t>电动助力车用阀控式铅酸蓄电池</w:t>
            </w:r>
          </w:p>
        </w:tc>
        <w:tc>
          <w:tcPr>
            <w:tcW w:w="2584" w:type="dxa"/>
            <w:shd w:val="clear" w:color="auto" w:fill="auto"/>
            <w:noWrap w:val="0"/>
            <w:vAlign w:val="center"/>
          </w:tcPr>
          <w:p>
            <w:pPr>
              <w:spacing w:line="560" w:lineRule="exact"/>
              <w:jc w:val="center"/>
              <w:rPr>
                <w:color w:val="000000"/>
                <w:sz w:val="28"/>
              </w:rPr>
            </w:pPr>
            <w:r>
              <w:rPr>
                <w:rFonts w:hint="eastAsia"/>
                <w:color w:val="000000"/>
                <w:sz w:val="28"/>
              </w:rPr>
              <w:t>GB/T 22199.1-2017</w:t>
            </w:r>
          </w:p>
        </w:tc>
        <w:tc>
          <w:tcPr>
            <w:tcW w:w="1691" w:type="dxa"/>
            <w:shd w:val="clear" w:color="auto" w:fill="auto"/>
            <w:noWrap w:val="0"/>
            <w:vAlign w:val="center"/>
          </w:tcPr>
          <w:p>
            <w:pPr>
              <w:spacing w:line="560" w:lineRule="exact"/>
              <w:jc w:val="center"/>
              <w:rPr>
                <w:color w:val="000000"/>
                <w:sz w:val="28"/>
              </w:rPr>
            </w:pPr>
            <w:r>
              <w:rPr>
                <w:rFonts w:hint="eastAsia"/>
                <w:color w:val="000000"/>
                <w:sz w:val="28"/>
              </w:rPr>
              <w:t>4</w:t>
            </w:r>
          </w:p>
        </w:tc>
        <w:tc>
          <w:tcPr>
            <w:tcW w:w="1645" w:type="dxa"/>
            <w:shd w:val="clear" w:color="auto" w:fill="auto"/>
            <w:noWrap w:val="0"/>
            <w:vAlign w:val="center"/>
          </w:tcPr>
          <w:p>
            <w:pPr>
              <w:spacing w:line="560" w:lineRule="exact"/>
              <w:jc w:val="center"/>
              <w:rPr>
                <w:color w:val="000000"/>
                <w:sz w:val="28"/>
              </w:rPr>
            </w:pPr>
            <w:r>
              <w:rPr>
                <w:rFonts w:hint="eastAsia"/>
                <w:color w:val="000000"/>
                <w:sz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trPr>
        <w:tc>
          <w:tcPr>
            <w:tcW w:w="892" w:type="dxa"/>
            <w:shd w:val="clear" w:color="auto" w:fill="auto"/>
            <w:noWrap w:val="0"/>
            <w:vAlign w:val="center"/>
          </w:tcPr>
          <w:p>
            <w:pPr>
              <w:spacing w:line="560" w:lineRule="exact"/>
              <w:jc w:val="center"/>
              <w:rPr>
                <w:color w:val="000000"/>
                <w:sz w:val="28"/>
              </w:rPr>
            </w:pPr>
            <w:r>
              <w:rPr>
                <w:color w:val="000000"/>
                <w:sz w:val="28"/>
              </w:rPr>
              <w:t>2</w:t>
            </w:r>
          </w:p>
        </w:tc>
        <w:tc>
          <w:tcPr>
            <w:tcW w:w="2245" w:type="dxa"/>
            <w:shd w:val="clear" w:color="auto" w:fill="auto"/>
            <w:noWrap w:val="0"/>
            <w:vAlign w:val="center"/>
          </w:tcPr>
          <w:p>
            <w:pPr>
              <w:spacing w:line="560" w:lineRule="exact"/>
              <w:jc w:val="center"/>
              <w:rPr>
                <w:color w:val="000000"/>
                <w:sz w:val="28"/>
              </w:rPr>
            </w:pPr>
            <w:r>
              <w:rPr>
                <w:color w:val="000000"/>
                <w:sz w:val="28"/>
              </w:rPr>
              <w:t>电动自行车用锂离子蓄电池</w:t>
            </w:r>
          </w:p>
        </w:tc>
        <w:tc>
          <w:tcPr>
            <w:tcW w:w="2584" w:type="dxa"/>
            <w:shd w:val="clear" w:color="auto" w:fill="auto"/>
            <w:noWrap w:val="0"/>
            <w:vAlign w:val="center"/>
          </w:tcPr>
          <w:p>
            <w:pPr>
              <w:spacing w:line="560" w:lineRule="exact"/>
              <w:jc w:val="center"/>
              <w:rPr>
                <w:color w:val="000000"/>
                <w:sz w:val="28"/>
              </w:rPr>
            </w:pPr>
            <w:r>
              <w:rPr>
                <w:color w:val="000000"/>
                <w:sz w:val="28"/>
              </w:rPr>
              <w:t>电池组</w:t>
            </w:r>
          </w:p>
          <w:p>
            <w:pPr>
              <w:spacing w:line="560" w:lineRule="exact"/>
              <w:jc w:val="center"/>
              <w:rPr>
                <w:color w:val="000000"/>
                <w:sz w:val="28"/>
              </w:rPr>
            </w:pPr>
            <w:r>
              <w:rPr>
                <w:color w:val="000000"/>
                <w:sz w:val="28"/>
              </w:rPr>
              <w:t>（产品明示执行标准GB 43854—2024的电池组）</w:t>
            </w:r>
          </w:p>
        </w:tc>
        <w:tc>
          <w:tcPr>
            <w:tcW w:w="1691" w:type="dxa"/>
            <w:shd w:val="clear" w:color="auto" w:fill="auto"/>
            <w:noWrap w:val="0"/>
            <w:vAlign w:val="center"/>
          </w:tcPr>
          <w:p>
            <w:pPr>
              <w:spacing w:line="560" w:lineRule="exact"/>
              <w:jc w:val="center"/>
              <w:rPr>
                <w:color w:val="000000"/>
                <w:sz w:val="28"/>
              </w:rPr>
            </w:pPr>
            <w:r>
              <w:rPr>
                <w:color w:val="000000"/>
                <w:sz w:val="28"/>
              </w:rPr>
              <w:t>3</w:t>
            </w:r>
          </w:p>
        </w:tc>
        <w:tc>
          <w:tcPr>
            <w:tcW w:w="1645" w:type="dxa"/>
            <w:shd w:val="clear" w:color="auto" w:fill="auto"/>
            <w:noWrap w:val="0"/>
            <w:vAlign w:val="center"/>
          </w:tcPr>
          <w:p>
            <w:pPr>
              <w:spacing w:line="560" w:lineRule="exact"/>
              <w:jc w:val="center"/>
              <w:rPr>
                <w:color w:val="000000"/>
                <w:sz w:val="28"/>
              </w:rPr>
            </w:pPr>
            <w:r>
              <w:rPr>
                <w:color w:val="000000"/>
                <w:sz w:val="28"/>
              </w:rPr>
              <w:t>3</w:t>
            </w:r>
          </w:p>
        </w:tc>
      </w:tr>
    </w:tbl>
    <w:p>
      <w:pPr>
        <w:spacing w:line="560" w:lineRule="exact"/>
        <w:ind w:firstLine="560" w:firstLineChars="200"/>
        <w:rPr>
          <w:spacing w:val="-6"/>
          <w:sz w:val="28"/>
        </w:rPr>
      </w:pPr>
      <w:r>
        <w:rPr>
          <w:sz w:val="28"/>
        </w:rPr>
        <w:t>注：1.在生产领域抽电池组产品时，若生产企业有原材料-电池，且数量满足抽样要求，将原材料-电池当作电池组产品配件进行抽样，电池抽样数量按上表电池检、备样数量</w:t>
      </w:r>
      <w:r>
        <w:rPr>
          <w:rFonts w:hint="eastAsia"/>
          <w:sz w:val="28"/>
        </w:rPr>
        <w:t>。</w:t>
      </w:r>
    </w:p>
    <w:p>
      <w:pPr>
        <w:spacing w:line="560" w:lineRule="exact"/>
        <w:ind w:firstLine="640" w:firstLineChars="200"/>
        <w:rPr>
          <w:rFonts w:eastAsia="黑体"/>
          <w:szCs w:val="40"/>
        </w:rPr>
      </w:pPr>
    </w:p>
    <w:p>
      <w:pPr>
        <w:spacing w:line="560" w:lineRule="exact"/>
        <w:ind w:firstLine="640" w:firstLineChars="200"/>
        <w:rPr>
          <w:rFonts w:eastAsia="黑体"/>
          <w:szCs w:val="40"/>
        </w:rPr>
      </w:pPr>
    </w:p>
    <w:p>
      <w:pPr>
        <w:spacing w:line="560" w:lineRule="exact"/>
        <w:ind w:firstLine="640" w:firstLineChars="200"/>
        <w:rPr>
          <w:rFonts w:eastAsia="楷体_GB2312"/>
          <w:szCs w:val="40"/>
        </w:rPr>
      </w:pPr>
      <w:r>
        <w:rPr>
          <w:rFonts w:eastAsia="黑体"/>
          <w:szCs w:val="40"/>
        </w:rPr>
        <w:t>2 检验依据</w:t>
      </w:r>
    </w:p>
    <w:p>
      <w:pPr>
        <w:snapToGrid w:val="0"/>
        <w:spacing w:line="440" w:lineRule="exact"/>
        <w:ind w:firstLine="640" w:firstLineChars="200"/>
        <w:rPr>
          <w:rFonts w:hint="eastAsia" w:ascii="仿宋_GB2312" w:hAnsi="仿宋_GB2312" w:cs="仿宋_GB2312"/>
          <w:szCs w:val="32"/>
        </w:rPr>
      </w:pPr>
      <w:r>
        <w:rPr>
          <w:szCs w:val="32"/>
        </w:rPr>
        <w:t>2.1</w:t>
      </w:r>
      <w:r>
        <w:rPr>
          <w:rFonts w:eastAsia="楷体_GB2312"/>
          <w:szCs w:val="40"/>
        </w:rPr>
        <w:t>电动助力车用阀控式铅酸蓄电池检验项目及检验项目属</w:t>
      </w:r>
      <w:r>
        <w:rPr>
          <w:rFonts w:hint="eastAsia" w:eastAsia="楷体_GB2312"/>
          <w:szCs w:val="40"/>
        </w:rPr>
        <w:t>性划分如下</w:t>
      </w:r>
    </w:p>
    <w:tbl>
      <w:tblPr>
        <w:tblStyle w:val="5"/>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5"/>
        <w:gridCol w:w="3034"/>
        <w:gridCol w:w="4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jc w:val="center"/>
        </w:trPr>
        <w:tc>
          <w:tcPr>
            <w:tcW w:w="854" w:type="pct"/>
            <w:noWrap w:val="0"/>
            <w:vAlign w:val="center"/>
          </w:tcPr>
          <w:p>
            <w:pPr>
              <w:spacing w:line="560" w:lineRule="exact"/>
              <w:jc w:val="center"/>
              <w:rPr>
                <w:rFonts w:hint="eastAsia"/>
                <w:b/>
                <w:bCs/>
                <w:sz w:val="28"/>
                <w:lang w:bidi="ar"/>
              </w:rPr>
            </w:pPr>
            <w:r>
              <w:rPr>
                <w:rFonts w:hint="eastAsia"/>
                <w:b/>
                <w:bCs/>
                <w:sz w:val="28"/>
                <w:lang w:bidi="ar"/>
              </w:rPr>
              <w:t>序号</w:t>
            </w:r>
          </w:p>
        </w:tc>
        <w:tc>
          <w:tcPr>
            <w:tcW w:w="1781" w:type="pct"/>
            <w:noWrap w:val="0"/>
            <w:vAlign w:val="center"/>
          </w:tcPr>
          <w:p>
            <w:pPr>
              <w:spacing w:line="560" w:lineRule="exact"/>
              <w:jc w:val="center"/>
              <w:rPr>
                <w:rFonts w:hint="eastAsia"/>
                <w:b/>
                <w:bCs/>
                <w:sz w:val="28"/>
                <w:lang w:bidi="ar"/>
              </w:rPr>
            </w:pPr>
            <w:r>
              <w:rPr>
                <w:rFonts w:hint="eastAsia"/>
                <w:b/>
                <w:bCs/>
                <w:sz w:val="28"/>
                <w:lang w:bidi="ar"/>
              </w:rPr>
              <w:t>检验项目</w:t>
            </w:r>
          </w:p>
        </w:tc>
        <w:tc>
          <w:tcPr>
            <w:tcW w:w="2364" w:type="pct"/>
            <w:noWrap w:val="0"/>
            <w:vAlign w:val="center"/>
          </w:tcPr>
          <w:p>
            <w:pPr>
              <w:spacing w:line="560" w:lineRule="exact"/>
              <w:jc w:val="center"/>
              <w:rPr>
                <w:rFonts w:hint="eastAsia"/>
                <w:b/>
                <w:bCs/>
                <w:sz w:val="28"/>
                <w:lang w:bidi="ar"/>
              </w:rPr>
            </w:pPr>
            <w:r>
              <w:rPr>
                <w:rFonts w:hint="eastAsia"/>
                <w:b/>
                <w:bCs/>
                <w:sz w:val="28"/>
                <w:lang w:bidi="ar"/>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854"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1</w:t>
            </w:r>
          </w:p>
        </w:tc>
        <w:tc>
          <w:tcPr>
            <w:tcW w:w="1781" w:type="pct"/>
            <w:noWrap w:val="0"/>
            <w:vAlign w:val="center"/>
          </w:tcPr>
          <w:p>
            <w:pPr>
              <w:spacing w:line="560" w:lineRule="exact"/>
              <w:jc w:val="center"/>
              <w:rPr>
                <w:rFonts w:hint="eastAsia"/>
                <w:color w:val="000000"/>
                <w:sz w:val="28"/>
                <w:szCs w:val="28"/>
              </w:rPr>
            </w:pPr>
            <w:r>
              <w:rPr>
                <w:rFonts w:hint="eastAsia"/>
                <w:color w:val="000000"/>
                <w:sz w:val="28"/>
                <w:szCs w:val="28"/>
              </w:rPr>
              <w:t>2hr容量</w:t>
            </w:r>
          </w:p>
        </w:tc>
        <w:tc>
          <w:tcPr>
            <w:tcW w:w="2364" w:type="pct"/>
            <w:noWrap w:val="0"/>
            <w:vAlign w:val="center"/>
          </w:tcPr>
          <w:p>
            <w:pPr>
              <w:spacing w:line="560" w:lineRule="exact"/>
              <w:jc w:val="center"/>
              <w:rPr>
                <w:rFonts w:hint="eastAsia"/>
                <w:color w:val="000000"/>
                <w:sz w:val="28"/>
                <w:szCs w:val="28"/>
              </w:rPr>
            </w:pPr>
            <w:r>
              <w:rPr>
                <w:rFonts w:hint="eastAsia"/>
                <w:color w:val="000000"/>
                <w:sz w:val="28"/>
                <w:szCs w:val="28"/>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854"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2</w:t>
            </w:r>
          </w:p>
        </w:tc>
        <w:tc>
          <w:tcPr>
            <w:tcW w:w="1781" w:type="pct"/>
            <w:noWrap w:val="0"/>
            <w:vAlign w:val="center"/>
          </w:tcPr>
          <w:p>
            <w:pPr>
              <w:spacing w:line="560" w:lineRule="exact"/>
              <w:jc w:val="center"/>
              <w:rPr>
                <w:rFonts w:hint="eastAsia"/>
                <w:color w:val="000000"/>
                <w:sz w:val="28"/>
                <w:szCs w:val="28"/>
              </w:rPr>
            </w:pPr>
            <w:r>
              <w:rPr>
                <w:rFonts w:hint="eastAsia"/>
                <w:color w:val="000000"/>
                <w:sz w:val="28"/>
                <w:szCs w:val="28"/>
              </w:rPr>
              <w:t>大电流放电</w:t>
            </w:r>
          </w:p>
        </w:tc>
        <w:tc>
          <w:tcPr>
            <w:tcW w:w="2364" w:type="pct"/>
            <w:noWrap w:val="0"/>
            <w:vAlign w:val="center"/>
          </w:tcPr>
          <w:p>
            <w:pPr>
              <w:spacing w:line="560" w:lineRule="exact"/>
              <w:jc w:val="center"/>
              <w:rPr>
                <w:rFonts w:hint="eastAsia"/>
                <w:color w:val="000000"/>
                <w:sz w:val="28"/>
                <w:szCs w:val="28"/>
              </w:rPr>
            </w:pPr>
            <w:r>
              <w:rPr>
                <w:rFonts w:hint="eastAsia"/>
                <w:color w:val="000000"/>
                <w:sz w:val="28"/>
                <w:szCs w:val="28"/>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854"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3</w:t>
            </w:r>
          </w:p>
        </w:tc>
        <w:tc>
          <w:tcPr>
            <w:tcW w:w="1781" w:type="pct"/>
            <w:noWrap w:val="0"/>
            <w:vAlign w:val="center"/>
          </w:tcPr>
          <w:p>
            <w:pPr>
              <w:spacing w:line="560" w:lineRule="exact"/>
              <w:jc w:val="center"/>
              <w:rPr>
                <w:rFonts w:hint="eastAsia"/>
                <w:color w:val="000000"/>
                <w:sz w:val="28"/>
                <w:szCs w:val="28"/>
              </w:rPr>
            </w:pPr>
            <w:r>
              <w:rPr>
                <w:rFonts w:hint="eastAsia"/>
                <w:color w:val="000000"/>
                <w:sz w:val="28"/>
                <w:szCs w:val="28"/>
              </w:rPr>
              <w:t>能量密度</w:t>
            </w:r>
          </w:p>
        </w:tc>
        <w:tc>
          <w:tcPr>
            <w:tcW w:w="2364" w:type="pct"/>
            <w:noWrap w:val="0"/>
            <w:vAlign w:val="center"/>
          </w:tcPr>
          <w:p>
            <w:pPr>
              <w:spacing w:line="560" w:lineRule="exact"/>
              <w:jc w:val="center"/>
              <w:rPr>
                <w:rFonts w:hint="eastAsia"/>
                <w:color w:val="000000"/>
                <w:sz w:val="28"/>
                <w:szCs w:val="28"/>
              </w:rPr>
            </w:pPr>
            <w:r>
              <w:rPr>
                <w:rFonts w:hint="eastAsia"/>
                <w:color w:val="000000"/>
                <w:sz w:val="28"/>
                <w:szCs w:val="28"/>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854"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4</w:t>
            </w:r>
          </w:p>
        </w:tc>
        <w:tc>
          <w:tcPr>
            <w:tcW w:w="1781" w:type="pct"/>
            <w:noWrap w:val="0"/>
            <w:vAlign w:val="center"/>
          </w:tcPr>
          <w:p>
            <w:pPr>
              <w:spacing w:line="560" w:lineRule="exact"/>
              <w:jc w:val="center"/>
              <w:rPr>
                <w:rFonts w:hint="eastAsia"/>
                <w:color w:val="000000"/>
                <w:sz w:val="28"/>
                <w:szCs w:val="28"/>
              </w:rPr>
            </w:pPr>
            <w:r>
              <w:rPr>
                <w:rFonts w:hint="eastAsia"/>
                <w:color w:val="000000"/>
                <w:sz w:val="28"/>
                <w:szCs w:val="28"/>
              </w:rPr>
              <w:t>低温容量</w:t>
            </w:r>
          </w:p>
        </w:tc>
        <w:tc>
          <w:tcPr>
            <w:tcW w:w="2364" w:type="pct"/>
            <w:noWrap w:val="0"/>
            <w:vAlign w:val="center"/>
          </w:tcPr>
          <w:p>
            <w:pPr>
              <w:spacing w:line="560" w:lineRule="exact"/>
              <w:jc w:val="center"/>
              <w:rPr>
                <w:rFonts w:hint="eastAsia"/>
                <w:color w:val="000000"/>
                <w:sz w:val="28"/>
                <w:szCs w:val="28"/>
              </w:rPr>
            </w:pPr>
            <w:r>
              <w:rPr>
                <w:rFonts w:hint="eastAsia"/>
                <w:color w:val="000000"/>
                <w:sz w:val="28"/>
                <w:szCs w:val="28"/>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854"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5</w:t>
            </w:r>
          </w:p>
        </w:tc>
        <w:tc>
          <w:tcPr>
            <w:tcW w:w="1781" w:type="pct"/>
            <w:noWrap w:val="0"/>
            <w:vAlign w:val="center"/>
          </w:tcPr>
          <w:p>
            <w:pPr>
              <w:spacing w:line="560" w:lineRule="exact"/>
              <w:jc w:val="center"/>
              <w:rPr>
                <w:rFonts w:hint="eastAsia"/>
                <w:color w:val="000000"/>
                <w:sz w:val="28"/>
                <w:szCs w:val="28"/>
              </w:rPr>
            </w:pPr>
            <w:r>
              <w:rPr>
                <w:rFonts w:hint="eastAsia"/>
                <w:color w:val="000000"/>
                <w:sz w:val="28"/>
                <w:szCs w:val="28"/>
              </w:rPr>
              <w:t>快速充电能力</w:t>
            </w:r>
          </w:p>
        </w:tc>
        <w:tc>
          <w:tcPr>
            <w:tcW w:w="2364" w:type="pct"/>
            <w:noWrap w:val="0"/>
            <w:vAlign w:val="center"/>
          </w:tcPr>
          <w:p>
            <w:pPr>
              <w:spacing w:line="560" w:lineRule="exact"/>
              <w:jc w:val="center"/>
              <w:rPr>
                <w:rFonts w:hint="eastAsia"/>
                <w:color w:val="000000"/>
                <w:sz w:val="28"/>
                <w:szCs w:val="28"/>
              </w:rPr>
            </w:pPr>
            <w:r>
              <w:rPr>
                <w:rFonts w:hint="eastAsia"/>
                <w:color w:val="000000"/>
                <w:sz w:val="28"/>
                <w:szCs w:val="28"/>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jc w:val="center"/>
        </w:trPr>
        <w:tc>
          <w:tcPr>
            <w:tcW w:w="854"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6</w:t>
            </w:r>
          </w:p>
        </w:tc>
        <w:tc>
          <w:tcPr>
            <w:tcW w:w="1781" w:type="pct"/>
            <w:noWrap w:val="0"/>
            <w:vAlign w:val="center"/>
          </w:tcPr>
          <w:p>
            <w:pPr>
              <w:spacing w:line="560" w:lineRule="exact"/>
              <w:jc w:val="center"/>
              <w:rPr>
                <w:rFonts w:hint="eastAsia"/>
                <w:color w:val="000000"/>
                <w:sz w:val="28"/>
                <w:szCs w:val="28"/>
              </w:rPr>
            </w:pPr>
            <w:r>
              <w:rPr>
                <w:rFonts w:hint="eastAsia"/>
                <w:color w:val="000000"/>
                <w:sz w:val="28"/>
                <w:szCs w:val="28"/>
              </w:rPr>
              <w:t>防爆能力</w:t>
            </w:r>
          </w:p>
        </w:tc>
        <w:tc>
          <w:tcPr>
            <w:tcW w:w="2364" w:type="pct"/>
            <w:noWrap w:val="0"/>
            <w:vAlign w:val="center"/>
          </w:tcPr>
          <w:p>
            <w:pPr>
              <w:spacing w:line="560" w:lineRule="exact"/>
              <w:jc w:val="center"/>
              <w:rPr>
                <w:rFonts w:hint="eastAsia"/>
                <w:color w:val="000000"/>
                <w:sz w:val="28"/>
                <w:szCs w:val="28"/>
              </w:rPr>
            </w:pPr>
            <w:r>
              <w:rPr>
                <w:rFonts w:hint="eastAsia"/>
                <w:color w:val="000000"/>
                <w:sz w:val="28"/>
                <w:szCs w:val="28"/>
              </w:rPr>
              <w:t>GB/T 22199.1-2017</w:t>
            </w:r>
          </w:p>
        </w:tc>
      </w:tr>
    </w:tbl>
    <w:p>
      <w:pPr>
        <w:spacing w:line="560" w:lineRule="exact"/>
        <w:ind w:firstLine="640" w:firstLineChars="200"/>
        <w:rPr>
          <w:rFonts w:eastAsia="楷体_GB2312"/>
          <w:szCs w:val="40"/>
        </w:rPr>
      </w:pPr>
      <w:r>
        <w:rPr>
          <w:rFonts w:eastAsia="楷体_GB2312"/>
          <w:szCs w:val="40"/>
        </w:rPr>
        <w:t>2.2 电动自行车用锂离子蓄电池（GB 43854—2024的电池组）</w:t>
      </w: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0"/>
        <w:gridCol w:w="3757"/>
        <w:gridCol w:w="3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757" w:type="pct"/>
            <w:noWrap/>
            <w:vAlign w:val="center"/>
          </w:tcPr>
          <w:p>
            <w:pPr>
              <w:spacing w:line="560" w:lineRule="exact"/>
              <w:jc w:val="center"/>
              <w:rPr>
                <w:b/>
                <w:bCs/>
                <w:sz w:val="28"/>
                <w:lang w:bidi="ar"/>
              </w:rPr>
            </w:pPr>
            <w:r>
              <w:rPr>
                <w:b/>
                <w:bCs/>
                <w:sz w:val="28"/>
                <w:lang w:bidi="ar"/>
              </w:rPr>
              <w:t>序号</w:t>
            </w:r>
          </w:p>
        </w:tc>
        <w:tc>
          <w:tcPr>
            <w:tcW w:w="2205" w:type="pct"/>
            <w:noWrap/>
            <w:vAlign w:val="center"/>
          </w:tcPr>
          <w:p>
            <w:pPr>
              <w:spacing w:line="560" w:lineRule="exact"/>
              <w:jc w:val="center"/>
              <w:rPr>
                <w:b/>
                <w:bCs/>
                <w:sz w:val="28"/>
                <w:lang w:bidi="ar"/>
              </w:rPr>
            </w:pPr>
            <w:r>
              <w:rPr>
                <w:b/>
                <w:bCs/>
                <w:sz w:val="28"/>
                <w:lang w:bidi="ar"/>
              </w:rPr>
              <w:t>检验项目</w:t>
            </w:r>
          </w:p>
        </w:tc>
        <w:tc>
          <w:tcPr>
            <w:tcW w:w="2037" w:type="pct"/>
            <w:noWrap/>
            <w:vAlign w:val="center"/>
          </w:tcPr>
          <w:p>
            <w:pPr>
              <w:spacing w:line="560" w:lineRule="exact"/>
              <w:jc w:val="center"/>
              <w:rPr>
                <w:b/>
                <w:bCs/>
                <w:sz w:val="28"/>
                <w:lang w:bidi="ar"/>
              </w:rPr>
            </w:pPr>
            <w:r>
              <w:rPr>
                <w:b/>
                <w:bCs/>
                <w:sz w:val="28"/>
                <w:lang w:bidi="ar"/>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757" w:type="pct"/>
            <w:noWrap/>
            <w:vAlign w:val="center"/>
          </w:tcPr>
          <w:p>
            <w:pPr>
              <w:spacing w:line="560" w:lineRule="exact"/>
              <w:jc w:val="center"/>
              <w:rPr>
                <w:color w:val="000000"/>
                <w:sz w:val="28"/>
                <w:szCs w:val="28"/>
              </w:rPr>
            </w:pPr>
            <w:r>
              <w:rPr>
                <w:color w:val="000000"/>
                <w:sz w:val="28"/>
                <w:szCs w:val="28"/>
              </w:rPr>
              <w:t>1</w:t>
            </w:r>
          </w:p>
        </w:tc>
        <w:tc>
          <w:tcPr>
            <w:tcW w:w="2205" w:type="pct"/>
            <w:noWrap/>
            <w:vAlign w:val="center"/>
          </w:tcPr>
          <w:p>
            <w:pPr>
              <w:spacing w:line="560" w:lineRule="exact"/>
              <w:jc w:val="center"/>
              <w:rPr>
                <w:color w:val="000000"/>
                <w:sz w:val="28"/>
                <w:szCs w:val="28"/>
              </w:rPr>
            </w:pPr>
            <w:r>
              <w:rPr>
                <w:color w:val="000000"/>
                <w:sz w:val="28"/>
                <w:szCs w:val="28"/>
              </w:rPr>
              <w:t>I</w:t>
            </w:r>
            <w:r>
              <w:rPr>
                <w:color w:val="000000"/>
                <w:sz w:val="28"/>
                <w:szCs w:val="28"/>
                <w:vertAlign w:val="subscript"/>
              </w:rPr>
              <w:t>2</w:t>
            </w:r>
            <w:r>
              <w:rPr>
                <w:color w:val="000000"/>
                <w:sz w:val="28"/>
                <w:szCs w:val="28"/>
              </w:rPr>
              <w:t>(A)放电</w:t>
            </w:r>
          </w:p>
        </w:tc>
        <w:tc>
          <w:tcPr>
            <w:tcW w:w="2037" w:type="pct"/>
            <w:noWrap/>
            <w:vAlign w:val="center"/>
          </w:tcPr>
          <w:p>
            <w:pPr>
              <w:spacing w:line="560" w:lineRule="exact"/>
              <w:jc w:val="center"/>
              <w:rPr>
                <w:color w:val="000000"/>
                <w:sz w:val="28"/>
                <w:szCs w:val="28"/>
              </w:rPr>
            </w:pPr>
            <w:r>
              <w:rPr>
                <w:color w:val="000000"/>
                <w:sz w:val="28"/>
                <w:szCs w:val="28"/>
              </w:rPr>
              <w:t>GB 43854-2024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757" w:type="pct"/>
            <w:noWrap/>
            <w:vAlign w:val="center"/>
          </w:tcPr>
          <w:p>
            <w:pPr>
              <w:spacing w:line="560" w:lineRule="exact"/>
              <w:jc w:val="center"/>
              <w:rPr>
                <w:color w:val="000000"/>
                <w:sz w:val="28"/>
                <w:szCs w:val="28"/>
              </w:rPr>
            </w:pPr>
            <w:r>
              <w:rPr>
                <w:color w:val="000000"/>
                <w:sz w:val="28"/>
                <w:szCs w:val="28"/>
              </w:rPr>
              <w:t>2</w:t>
            </w:r>
          </w:p>
        </w:tc>
        <w:tc>
          <w:tcPr>
            <w:tcW w:w="2205" w:type="pct"/>
            <w:noWrap/>
            <w:vAlign w:val="center"/>
          </w:tcPr>
          <w:p>
            <w:pPr>
              <w:spacing w:line="560" w:lineRule="exact"/>
              <w:jc w:val="center"/>
              <w:rPr>
                <w:color w:val="000000"/>
                <w:sz w:val="28"/>
                <w:szCs w:val="28"/>
              </w:rPr>
            </w:pPr>
            <w:r>
              <w:rPr>
                <w:color w:val="000000"/>
                <w:sz w:val="28"/>
                <w:szCs w:val="28"/>
              </w:rPr>
              <w:t>过放电</w:t>
            </w:r>
          </w:p>
        </w:tc>
        <w:tc>
          <w:tcPr>
            <w:tcW w:w="2037" w:type="pct"/>
            <w:noWrap/>
            <w:vAlign w:val="center"/>
          </w:tcPr>
          <w:p>
            <w:pPr>
              <w:spacing w:line="560" w:lineRule="exact"/>
              <w:jc w:val="center"/>
              <w:rPr>
                <w:color w:val="000000"/>
                <w:sz w:val="28"/>
                <w:szCs w:val="28"/>
              </w:rPr>
            </w:pPr>
            <w:r>
              <w:rPr>
                <w:color w:val="000000"/>
                <w:sz w:val="28"/>
                <w:szCs w:val="28"/>
              </w:rPr>
              <w:t>GB 43854-2024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757" w:type="pct"/>
            <w:noWrap/>
            <w:vAlign w:val="center"/>
          </w:tcPr>
          <w:p>
            <w:pPr>
              <w:spacing w:line="560" w:lineRule="exact"/>
              <w:jc w:val="center"/>
              <w:rPr>
                <w:color w:val="000000"/>
                <w:sz w:val="28"/>
                <w:szCs w:val="28"/>
              </w:rPr>
            </w:pPr>
            <w:r>
              <w:rPr>
                <w:color w:val="000000"/>
                <w:sz w:val="28"/>
                <w:szCs w:val="28"/>
              </w:rPr>
              <w:t>3</w:t>
            </w:r>
          </w:p>
        </w:tc>
        <w:tc>
          <w:tcPr>
            <w:tcW w:w="2205" w:type="pct"/>
            <w:noWrap/>
            <w:vAlign w:val="center"/>
          </w:tcPr>
          <w:p>
            <w:pPr>
              <w:spacing w:line="560" w:lineRule="exact"/>
              <w:jc w:val="center"/>
              <w:rPr>
                <w:color w:val="000000"/>
                <w:sz w:val="28"/>
                <w:szCs w:val="28"/>
              </w:rPr>
            </w:pPr>
            <w:r>
              <w:rPr>
                <w:color w:val="000000"/>
                <w:sz w:val="28"/>
                <w:szCs w:val="28"/>
              </w:rPr>
              <w:t>过充电</w:t>
            </w:r>
          </w:p>
        </w:tc>
        <w:tc>
          <w:tcPr>
            <w:tcW w:w="2037" w:type="pct"/>
            <w:noWrap/>
            <w:vAlign w:val="center"/>
          </w:tcPr>
          <w:p>
            <w:pPr>
              <w:spacing w:line="560" w:lineRule="exact"/>
              <w:jc w:val="center"/>
              <w:rPr>
                <w:color w:val="000000"/>
                <w:sz w:val="28"/>
                <w:szCs w:val="28"/>
              </w:rPr>
            </w:pPr>
            <w:r>
              <w:rPr>
                <w:color w:val="000000"/>
                <w:sz w:val="28"/>
                <w:szCs w:val="28"/>
              </w:rPr>
              <w:t>GB 43854-2024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757" w:type="pct"/>
            <w:noWrap/>
            <w:vAlign w:val="center"/>
          </w:tcPr>
          <w:p>
            <w:pPr>
              <w:spacing w:line="560" w:lineRule="exact"/>
              <w:jc w:val="center"/>
              <w:rPr>
                <w:color w:val="000000"/>
                <w:sz w:val="28"/>
                <w:szCs w:val="28"/>
              </w:rPr>
            </w:pPr>
            <w:r>
              <w:rPr>
                <w:color w:val="000000"/>
                <w:sz w:val="28"/>
                <w:szCs w:val="28"/>
              </w:rPr>
              <w:t>4</w:t>
            </w:r>
          </w:p>
        </w:tc>
        <w:tc>
          <w:tcPr>
            <w:tcW w:w="2205" w:type="pct"/>
            <w:noWrap/>
            <w:vAlign w:val="center"/>
          </w:tcPr>
          <w:p>
            <w:pPr>
              <w:spacing w:line="560" w:lineRule="exact"/>
              <w:jc w:val="center"/>
              <w:rPr>
                <w:color w:val="000000"/>
                <w:sz w:val="28"/>
                <w:szCs w:val="28"/>
              </w:rPr>
            </w:pPr>
            <w:r>
              <w:rPr>
                <w:color w:val="000000"/>
                <w:sz w:val="28"/>
                <w:szCs w:val="28"/>
              </w:rPr>
              <w:t>外部短路</w:t>
            </w:r>
          </w:p>
        </w:tc>
        <w:tc>
          <w:tcPr>
            <w:tcW w:w="2037" w:type="pct"/>
            <w:noWrap/>
            <w:vAlign w:val="center"/>
          </w:tcPr>
          <w:p>
            <w:pPr>
              <w:spacing w:line="560" w:lineRule="exact"/>
              <w:jc w:val="center"/>
              <w:rPr>
                <w:color w:val="000000"/>
                <w:sz w:val="28"/>
                <w:szCs w:val="28"/>
              </w:rPr>
            </w:pPr>
            <w:r>
              <w:rPr>
                <w:color w:val="000000"/>
                <w:sz w:val="28"/>
                <w:szCs w:val="28"/>
              </w:rPr>
              <w:t>GB 43854-2024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757" w:type="pct"/>
            <w:noWrap/>
            <w:vAlign w:val="center"/>
          </w:tcPr>
          <w:p>
            <w:pPr>
              <w:spacing w:line="560" w:lineRule="exact"/>
              <w:jc w:val="center"/>
              <w:rPr>
                <w:color w:val="000000"/>
                <w:sz w:val="28"/>
                <w:szCs w:val="28"/>
              </w:rPr>
            </w:pPr>
            <w:r>
              <w:rPr>
                <w:color w:val="000000"/>
                <w:sz w:val="28"/>
                <w:szCs w:val="28"/>
              </w:rPr>
              <w:t>5</w:t>
            </w:r>
          </w:p>
        </w:tc>
        <w:tc>
          <w:tcPr>
            <w:tcW w:w="2205" w:type="pct"/>
            <w:noWrap/>
            <w:vAlign w:val="center"/>
          </w:tcPr>
          <w:p>
            <w:pPr>
              <w:spacing w:line="560" w:lineRule="exact"/>
              <w:jc w:val="center"/>
              <w:rPr>
                <w:color w:val="000000"/>
                <w:sz w:val="28"/>
                <w:szCs w:val="28"/>
              </w:rPr>
            </w:pPr>
            <w:r>
              <w:rPr>
                <w:color w:val="000000"/>
                <w:sz w:val="28"/>
                <w:szCs w:val="28"/>
              </w:rPr>
              <w:t>过流放电</w:t>
            </w:r>
          </w:p>
        </w:tc>
        <w:tc>
          <w:tcPr>
            <w:tcW w:w="2037" w:type="pct"/>
            <w:noWrap/>
            <w:vAlign w:val="center"/>
          </w:tcPr>
          <w:p>
            <w:pPr>
              <w:spacing w:line="560" w:lineRule="exact"/>
              <w:jc w:val="center"/>
              <w:rPr>
                <w:color w:val="000000"/>
                <w:sz w:val="28"/>
                <w:szCs w:val="28"/>
              </w:rPr>
            </w:pPr>
            <w:r>
              <w:rPr>
                <w:color w:val="000000"/>
                <w:sz w:val="28"/>
                <w:szCs w:val="28"/>
              </w:rPr>
              <w:t>GB 43854-2024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757" w:type="pct"/>
            <w:noWrap/>
            <w:vAlign w:val="center"/>
          </w:tcPr>
          <w:p>
            <w:pPr>
              <w:spacing w:line="560" w:lineRule="exact"/>
              <w:jc w:val="center"/>
              <w:rPr>
                <w:rFonts w:hint="eastAsia" w:eastAsia="仿宋_GB2312"/>
                <w:color w:val="000000"/>
                <w:sz w:val="28"/>
                <w:szCs w:val="28"/>
                <w:lang w:val="en-US" w:eastAsia="zh-CN"/>
              </w:rPr>
            </w:pPr>
            <w:r>
              <w:rPr>
                <w:rFonts w:hint="eastAsia"/>
                <w:color w:val="000000"/>
                <w:sz w:val="28"/>
                <w:szCs w:val="28"/>
                <w:lang w:val="en-US" w:eastAsia="zh-CN"/>
              </w:rPr>
              <w:t>6</w:t>
            </w:r>
          </w:p>
        </w:tc>
        <w:tc>
          <w:tcPr>
            <w:tcW w:w="2205" w:type="pct"/>
            <w:noWrap/>
            <w:vAlign w:val="center"/>
          </w:tcPr>
          <w:p>
            <w:pPr>
              <w:spacing w:line="560" w:lineRule="exact"/>
              <w:jc w:val="center"/>
              <w:rPr>
                <w:color w:val="000000"/>
                <w:sz w:val="28"/>
                <w:szCs w:val="28"/>
              </w:rPr>
            </w:pPr>
            <w:r>
              <w:rPr>
                <w:color w:val="000000"/>
                <w:sz w:val="28"/>
                <w:szCs w:val="28"/>
              </w:rPr>
              <w:t>阻燃性</w:t>
            </w:r>
            <w:r>
              <w:rPr>
                <w:color w:val="000000"/>
                <w:sz w:val="28"/>
                <w:szCs w:val="28"/>
                <w:vertAlign w:val="superscript"/>
              </w:rPr>
              <w:t>a</w:t>
            </w:r>
          </w:p>
        </w:tc>
        <w:tc>
          <w:tcPr>
            <w:tcW w:w="2037" w:type="pct"/>
            <w:noWrap/>
            <w:vAlign w:val="center"/>
          </w:tcPr>
          <w:p>
            <w:pPr>
              <w:spacing w:line="560" w:lineRule="exact"/>
              <w:jc w:val="center"/>
              <w:rPr>
                <w:color w:val="000000"/>
                <w:sz w:val="28"/>
                <w:szCs w:val="28"/>
              </w:rPr>
            </w:pPr>
            <w:r>
              <w:rPr>
                <w:color w:val="000000"/>
                <w:sz w:val="28"/>
                <w:szCs w:val="28"/>
              </w:rPr>
              <w:t>GB 43854-2024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5000" w:type="pct"/>
            <w:gridSpan w:val="3"/>
            <w:noWrap/>
            <w:vAlign w:val="center"/>
          </w:tcPr>
          <w:p>
            <w:pPr>
              <w:spacing w:line="560" w:lineRule="exact"/>
              <w:jc w:val="left"/>
              <w:rPr>
                <w:color w:val="000000"/>
                <w:sz w:val="28"/>
                <w:szCs w:val="28"/>
              </w:rPr>
            </w:pPr>
            <w:r>
              <w:rPr>
                <w:spacing w:val="-6"/>
                <w:sz w:val="28"/>
              </w:rPr>
              <w:t>注：</w:t>
            </w:r>
            <w:r>
              <w:rPr>
                <w:spacing w:val="6"/>
                <w:sz w:val="28"/>
              </w:rPr>
              <w:t>a 只测非金属外壳</w:t>
            </w:r>
            <w:r>
              <w:rPr>
                <w:rFonts w:hint="eastAsia"/>
                <w:spacing w:val="6"/>
                <w:sz w:val="28"/>
                <w:lang w:eastAsia="zh-CN"/>
              </w:rPr>
              <w:t>。</w:t>
            </w:r>
            <w:bookmarkStart w:id="0" w:name="_GoBack"/>
            <w:bookmarkEnd w:id="0"/>
          </w:p>
        </w:tc>
      </w:tr>
    </w:tbl>
    <w:p>
      <w:pPr>
        <w:spacing w:line="560" w:lineRule="exact"/>
        <w:ind w:firstLine="640" w:firstLineChars="200"/>
        <w:rPr>
          <w:szCs w:val="40"/>
        </w:rPr>
      </w:pPr>
      <w:r>
        <w:rPr>
          <w:szCs w:val="40"/>
        </w:rPr>
        <w:t>执行企业标准、团体标准、地方标准的产品，检验项目参照上述内容执行。</w:t>
      </w:r>
    </w:p>
    <w:p>
      <w:pPr>
        <w:spacing w:line="560" w:lineRule="exact"/>
        <w:ind w:firstLine="640" w:firstLineChars="200"/>
        <w:rPr>
          <w:szCs w:val="40"/>
        </w:rPr>
      </w:pPr>
      <w:r>
        <w:rPr>
          <w:szCs w:val="40"/>
        </w:rPr>
        <w:t>凡是注日期的文件，其随后所有的修改单（不包括勘误的内容）或修订版不适用于本细则。凡是不注日期的文件，其最新版本适用于本细则。</w:t>
      </w:r>
    </w:p>
    <w:p>
      <w:pPr>
        <w:spacing w:line="560" w:lineRule="exact"/>
        <w:ind w:firstLine="640" w:firstLineChars="200"/>
        <w:rPr>
          <w:rFonts w:eastAsia="黑体"/>
          <w:szCs w:val="40"/>
        </w:rPr>
      </w:pPr>
      <w:r>
        <w:rPr>
          <w:rFonts w:eastAsia="黑体"/>
          <w:szCs w:val="40"/>
        </w:rPr>
        <w:t>3 判定规则</w:t>
      </w:r>
    </w:p>
    <w:p>
      <w:pPr>
        <w:spacing w:line="560" w:lineRule="exact"/>
        <w:ind w:firstLine="640" w:firstLineChars="200"/>
        <w:rPr>
          <w:szCs w:val="40"/>
        </w:rPr>
      </w:pPr>
      <w:r>
        <w:rPr>
          <w:rFonts w:eastAsia="楷体_GB2312"/>
          <w:szCs w:val="40"/>
        </w:rPr>
        <w:t>3.1 依据标准</w:t>
      </w:r>
    </w:p>
    <w:p>
      <w:pPr>
        <w:snapToGrid w:val="0"/>
        <w:spacing w:line="560" w:lineRule="exact"/>
        <w:ind w:firstLine="640" w:firstLineChars="200"/>
        <w:rPr>
          <w:szCs w:val="40"/>
        </w:rPr>
      </w:pPr>
      <w:r>
        <w:rPr>
          <w:szCs w:val="32"/>
        </w:rPr>
        <w:t>GB/T 22199.1-2017 《电动助力车用阀控式铅酸蓄电池 第1部分：技术条件》</w:t>
      </w:r>
    </w:p>
    <w:p>
      <w:pPr>
        <w:spacing w:line="560" w:lineRule="exact"/>
        <w:ind w:firstLine="640" w:firstLineChars="200"/>
        <w:rPr>
          <w:szCs w:val="40"/>
        </w:rPr>
      </w:pPr>
      <w:r>
        <w:rPr>
          <w:szCs w:val="40"/>
        </w:rPr>
        <w:t>GB 43854-2024《电动自行车用锂离子蓄电池安全技术规范》</w:t>
      </w:r>
    </w:p>
    <w:p>
      <w:pPr>
        <w:spacing w:line="560" w:lineRule="exact"/>
        <w:ind w:firstLine="640" w:firstLineChars="200"/>
        <w:rPr>
          <w:szCs w:val="40"/>
        </w:rPr>
      </w:pPr>
      <w:r>
        <w:rPr>
          <w:szCs w:val="40"/>
        </w:rPr>
        <w:t>现行有效的企业标准、团体标准、地方标准及产品明示质量要求</w:t>
      </w:r>
    </w:p>
    <w:p>
      <w:pPr>
        <w:spacing w:line="560" w:lineRule="exact"/>
        <w:ind w:firstLine="640" w:firstLineChars="200"/>
        <w:rPr>
          <w:rFonts w:eastAsia="楷体_GB2312"/>
          <w:szCs w:val="40"/>
        </w:rPr>
      </w:pPr>
      <w:r>
        <w:rPr>
          <w:rFonts w:eastAsia="楷体_GB2312"/>
          <w:szCs w:val="40"/>
        </w:rPr>
        <w:t>3.2 判定原则</w:t>
      </w:r>
    </w:p>
    <w:p>
      <w:pPr>
        <w:spacing w:line="560" w:lineRule="exact"/>
        <w:ind w:firstLine="640" w:firstLineChars="200"/>
        <w:rPr>
          <w:szCs w:val="40"/>
        </w:rPr>
      </w:pPr>
      <w:r>
        <w:rPr>
          <w:szCs w:val="40"/>
        </w:rPr>
        <w:t>经检验，检验项目全部合格，判定为被抽查产品所检项目未发现不合格；检验项目中任一项或一项以上不合格，判定为被抽查产品不合格。</w:t>
      </w:r>
    </w:p>
    <w:p>
      <w:pPr>
        <w:spacing w:line="560" w:lineRule="exact"/>
        <w:ind w:firstLine="640" w:firstLineChars="200"/>
        <w:rPr>
          <w:szCs w:val="40"/>
        </w:rPr>
      </w:pPr>
      <w:r>
        <w:rPr>
          <w:szCs w:val="40"/>
        </w:rPr>
        <w:t>若被检产品明示的质量要求高于本细则中检验项目依据的标准要求时，应按被检产品明示的质量要求判定。</w:t>
      </w:r>
    </w:p>
    <w:p>
      <w:pPr>
        <w:spacing w:line="560" w:lineRule="exact"/>
        <w:ind w:firstLine="640" w:firstLineChars="200"/>
        <w:rPr>
          <w:szCs w:val="40"/>
        </w:rPr>
      </w:pPr>
      <w:r>
        <w:rPr>
          <w:szCs w:val="40"/>
        </w:rPr>
        <w:t>若被检产品明示的质量要求低于本细则中检验项目依据的强制性标准要求时，应按照强制性标准要求判定。</w:t>
      </w:r>
    </w:p>
    <w:p>
      <w:pPr>
        <w:spacing w:line="560" w:lineRule="exact"/>
        <w:ind w:firstLine="640" w:firstLineChars="200"/>
        <w:rPr>
          <w:szCs w:val="40"/>
        </w:rPr>
      </w:pPr>
      <w:r>
        <w:rPr>
          <w:szCs w:val="40"/>
        </w:rPr>
        <w:t>若被检产品明示的质量要求低于或包含本细则中检验项目依据的推荐性标准要求时，应以被检产品明示的质量要求判定。</w:t>
      </w:r>
    </w:p>
    <w:p>
      <w:pPr>
        <w:spacing w:line="560" w:lineRule="exact"/>
        <w:ind w:firstLine="640" w:firstLineChars="200"/>
        <w:rPr>
          <w:szCs w:val="40"/>
        </w:rPr>
      </w:pPr>
      <w:r>
        <w:rPr>
          <w:szCs w:val="40"/>
        </w:rPr>
        <w:t>若被检产品明示的质量要求缺少本细则中检验项目依据的强制性标准要求时，应按照强制性标准要求判定。</w:t>
      </w:r>
    </w:p>
    <w:p>
      <w:pPr>
        <w:spacing w:line="560" w:lineRule="exact"/>
        <w:ind w:firstLine="640" w:firstLineChars="200"/>
      </w:pPr>
      <w:r>
        <w:rPr>
          <w:szCs w:val="40"/>
        </w:rPr>
        <w:t>若被检产品明示的质量要求缺少本细则中检验项目依据的推荐性标准要求时，该项目不参与判定。</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AB5"/>
    <w:rsid w:val="001E6AB5"/>
    <w:rsid w:val="00225E25"/>
    <w:rsid w:val="004B4320"/>
    <w:rsid w:val="009517C1"/>
    <w:rsid w:val="009638F6"/>
    <w:rsid w:val="009C7A72"/>
    <w:rsid w:val="009E6CC9"/>
    <w:rsid w:val="0A86211E"/>
    <w:rsid w:val="0AA04A81"/>
    <w:rsid w:val="0BAD0631"/>
    <w:rsid w:val="1489354E"/>
    <w:rsid w:val="17A67E24"/>
    <w:rsid w:val="1ABF102A"/>
    <w:rsid w:val="200C084A"/>
    <w:rsid w:val="2A1A7394"/>
    <w:rsid w:val="2E2218A8"/>
    <w:rsid w:val="31E24F7F"/>
    <w:rsid w:val="32E60495"/>
    <w:rsid w:val="33E739F1"/>
    <w:rsid w:val="39213CA0"/>
    <w:rsid w:val="3B494E18"/>
    <w:rsid w:val="433B6DE0"/>
    <w:rsid w:val="4BA46C14"/>
    <w:rsid w:val="577C0620"/>
    <w:rsid w:val="629F339B"/>
    <w:rsid w:val="632C4164"/>
    <w:rsid w:val="67716F8F"/>
    <w:rsid w:val="6C6977D6"/>
    <w:rsid w:val="6E677A1A"/>
    <w:rsid w:val="7487117A"/>
    <w:rsid w:val="76BF6265"/>
    <w:rsid w:val="783C334D"/>
    <w:rsid w:val="7B746E9D"/>
    <w:rsid w:val="7F702F7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2"/>
    <w:basedOn w:val="1"/>
    <w:next w:val="1"/>
    <w:unhideWhenUsed/>
    <w:qFormat/>
    <w:uiPriority w:val="39"/>
    <w:pPr>
      <w:widowControl w:val="0"/>
      <w:ind w:left="420" w:leftChars="200"/>
      <w:jc w:val="both"/>
    </w:pPr>
    <w:rPr>
      <w:rFonts w:ascii="Times New Roman" w:hAnsi="Times New Roman" w:eastAsia="宋体" w:cs="Times New Roman"/>
      <w:kern w:val="2"/>
      <w:sz w:val="21"/>
      <w:szCs w:val="24"/>
      <w:lang w:val="en-US" w:eastAsia="zh-CN" w:bidi="ar-SA"/>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6">
    <w:name w:val="Table Grid"/>
    <w:unhideWhenUsed/>
    <w:qFormat/>
    <w:uiPriority w:val="99"/>
    <w:rPr>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customStyle="1" w:styleId="8">
    <w:name w:val="页脚 Char"/>
    <w:link w:val="3"/>
    <w:qFormat/>
    <w:uiPriority w:val="0"/>
    <w:rPr>
      <w:rFonts w:ascii="Times New Roman" w:hAnsi="Times New Roman" w:eastAsia="仿宋_GB2312"/>
      <w:kern w:val="2"/>
      <w:sz w:val="18"/>
      <w:szCs w:val="18"/>
    </w:rPr>
  </w:style>
  <w:style w:type="character" w:customStyle="1" w:styleId="9">
    <w:name w:val="页眉 Char"/>
    <w:link w:val="4"/>
    <w:qFormat/>
    <w:uiPriority w:val="0"/>
    <w:rPr>
      <w:rFonts w:ascii="Times New Roman" w:hAnsi="Times New Roman" w:eastAsia="仿宋_GB2312"/>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930</Words>
  <Characters>1150</Characters>
  <Lines>9</Lines>
  <Paragraphs>2</Paragraphs>
  <TotalTime>0</TotalTime>
  <ScaleCrop>false</ScaleCrop>
  <LinksUpToDate>false</LinksUpToDate>
  <CharactersWithSpaces>1176</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2025-06-17T06:24:00Z</dcterms:created>
  <dc:creator>JYJD</dc:creator>
  <cp:lastModifiedBy>李世雄</cp:lastModifiedBy>
  <dcterms:modified xsi:type="dcterms:W3CDTF">2026-02-02T03:57:18Z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A205AA38F4D84BDEBDBFCFA980FA2BEB</vt:lpwstr>
  </property>
  <property fmtid="{D5CDD505-2E9C-101B-9397-08002B2CF9AE}" pid="4" name="KSOTemplateDocerSaveRecord">
    <vt:lpwstr>eyJoZGlkIjoiZDZjN2E4Mjc5OGYyMTc1YTkwYTlmOGY5OTE1OThjMjgiLCJ1c2VySWQiOiI1MjQ2OTkyNTEifQ==</vt:lpwstr>
  </property>
</Properties>
</file>