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36A86AD">
      <w:pPr>
        <w:keepNext w:val="0"/>
        <w:keepLines w:val="0"/>
        <w:pageBreakBefore w:val="0"/>
        <w:kinsoku/>
        <w:wordWrap/>
        <w:overflowPunct/>
        <w:topLinePunct w:val="0"/>
        <w:autoSpaceDN/>
        <w:bidi w:val="0"/>
        <w:adjustRightInd/>
        <w:snapToGrid w:val="0"/>
        <w:spacing w:line="560" w:lineRule="exact"/>
        <w:jc w:val="center"/>
        <w:textAlignment w:val="auto"/>
        <w:rPr>
          <w:rFonts w:hint="eastAsia" w:ascii="方正小标宋简体" w:hAnsi="方正小标宋简体" w:eastAsia="方正小标宋简体" w:cs="方正小标宋简体"/>
          <w:color w:val="auto"/>
          <w:sz w:val="44"/>
          <w:szCs w:val="44"/>
          <w:highlight w:val="none"/>
        </w:rPr>
      </w:pPr>
      <w:r>
        <w:rPr>
          <w:rFonts w:hint="eastAsia" w:ascii="方正小标宋简体" w:hAnsi="方正小标宋简体" w:eastAsia="方正小标宋简体" w:cs="方正小标宋简体"/>
          <w:color w:val="auto"/>
          <w:sz w:val="44"/>
          <w:szCs w:val="44"/>
          <w:highlight w:val="none"/>
          <w:lang w:val="en-US" w:eastAsia="zh-CN"/>
        </w:rPr>
        <w:t>东莞市羽绒服装</w:t>
      </w:r>
      <w:r>
        <w:rPr>
          <w:rFonts w:hint="eastAsia" w:ascii="方正小标宋简体" w:hAnsi="方正小标宋简体" w:eastAsia="方正小标宋简体" w:cs="方正小标宋简体"/>
          <w:color w:val="auto"/>
          <w:sz w:val="44"/>
          <w:szCs w:val="44"/>
          <w:highlight w:val="none"/>
        </w:rPr>
        <w:t>产品质量监督抽查实施细则</w:t>
      </w:r>
    </w:p>
    <w:p w14:paraId="7FCBAA6E">
      <w:pPr>
        <w:keepNext w:val="0"/>
        <w:keepLines w:val="0"/>
        <w:pageBreakBefore w:val="0"/>
        <w:kinsoku/>
        <w:wordWrap/>
        <w:overflowPunct/>
        <w:topLinePunct w:val="0"/>
        <w:autoSpaceDN/>
        <w:bidi w:val="0"/>
        <w:adjustRightInd/>
        <w:spacing w:line="560" w:lineRule="exact"/>
        <w:jc w:val="center"/>
        <w:textAlignment w:val="auto"/>
        <w:rPr>
          <w:rFonts w:hint="eastAsia" w:ascii="Times New Roman" w:hAnsi="Times New Roman" w:eastAsia="楷体_GB2312" w:cs="Times New Roman"/>
          <w:color w:val="auto"/>
          <w:sz w:val="32"/>
          <w:szCs w:val="32"/>
          <w:highlight w:val="none"/>
        </w:rPr>
      </w:pPr>
      <w:r>
        <w:rPr>
          <w:rFonts w:hint="eastAsia" w:ascii="Times New Roman" w:hAnsi="Times New Roman" w:eastAsia="楷体_GB2312" w:cs="Times New Roman"/>
          <w:color w:val="auto"/>
          <w:sz w:val="32"/>
          <w:szCs w:val="32"/>
          <w:highlight w:val="none"/>
        </w:rPr>
        <w:t>（202</w:t>
      </w:r>
      <w:r>
        <w:rPr>
          <w:rFonts w:hint="eastAsia" w:eastAsia="楷体_GB2312" w:cs="Times New Roman"/>
          <w:color w:val="auto"/>
          <w:sz w:val="32"/>
          <w:szCs w:val="32"/>
          <w:highlight w:val="none"/>
          <w:lang w:val="en-US" w:eastAsia="zh-CN"/>
        </w:rPr>
        <w:t>6</w:t>
      </w:r>
      <w:r>
        <w:rPr>
          <w:rFonts w:hint="eastAsia" w:ascii="Times New Roman" w:hAnsi="Times New Roman" w:eastAsia="楷体_GB2312" w:cs="Times New Roman"/>
          <w:color w:val="auto"/>
          <w:sz w:val="32"/>
          <w:szCs w:val="32"/>
          <w:highlight w:val="none"/>
        </w:rPr>
        <w:t>年版）</w:t>
      </w:r>
    </w:p>
    <w:p w14:paraId="40AB428B">
      <w:pPr>
        <w:keepNext w:val="0"/>
        <w:keepLines w:val="0"/>
        <w:pageBreakBefore w:val="0"/>
        <w:kinsoku/>
        <w:wordWrap/>
        <w:overflowPunct/>
        <w:topLinePunct w:val="0"/>
        <w:autoSpaceDN/>
        <w:bidi w:val="0"/>
        <w:adjustRightInd/>
        <w:snapToGrid w:val="0"/>
        <w:spacing w:line="560" w:lineRule="exact"/>
        <w:ind w:firstLine="359" w:firstLineChars="171"/>
        <w:textAlignment w:val="auto"/>
        <w:rPr>
          <w:szCs w:val="21"/>
        </w:rPr>
      </w:pPr>
    </w:p>
    <w:p w14:paraId="01048383">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黑体" w:hAnsi="黑体" w:eastAsia="黑体" w:cs="黑体"/>
          <w:sz w:val="32"/>
          <w:szCs w:val="32"/>
        </w:rPr>
      </w:pPr>
      <w:r>
        <w:rPr>
          <w:rFonts w:hint="eastAsia" w:ascii="黑体" w:hAnsi="黑体" w:eastAsia="黑体" w:cs="黑体"/>
          <w:sz w:val="32"/>
          <w:szCs w:val="32"/>
        </w:rPr>
        <w:t>1 抽样方法</w:t>
      </w:r>
    </w:p>
    <w:p w14:paraId="533EF2F7">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以随机抽样的方式在被抽样生产者、销售者的待销产品中抽取。</w:t>
      </w:r>
    </w:p>
    <w:p w14:paraId="7036140E">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随机数一般可使用随机数表等方法产生。</w:t>
      </w:r>
    </w:p>
    <w:p w14:paraId="5D5C3D6C">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每批次产品抽取样品2</w:t>
      </w:r>
      <w:r>
        <w:rPr>
          <w:rFonts w:hint="eastAsia" w:ascii="仿宋_GB2312" w:hAnsi="仿宋_GB2312" w:eastAsia="仿宋_GB2312" w:cs="仿宋_GB2312"/>
          <w:sz w:val="32"/>
          <w:szCs w:val="32"/>
          <w:lang w:eastAsia="zh-CN"/>
        </w:rPr>
        <w:t>件</w:t>
      </w:r>
      <w:r>
        <w:rPr>
          <w:rFonts w:hint="eastAsia" w:ascii="仿宋_GB2312" w:hAnsi="仿宋_GB2312" w:eastAsia="仿宋_GB2312" w:cs="仿宋_GB2312"/>
          <w:sz w:val="32"/>
          <w:szCs w:val="32"/>
          <w:lang w:val="en-US" w:eastAsia="zh-CN"/>
        </w:rPr>
        <w:t>/条/套</w:t>
      </w:r>
      <w:r>
        <w:rPr>
          <w:rFonts w:hint="eastAsia" w:ascii="仿宋_GB2312" w:hAnsi="仿宋_GB2312" w:eastAsia="仿宋_GB2312" w:cs="仿宋_GB2312"/>
          <w:sz w:val="32"/>
          <w:szCs w:val="32"/>
        </w:rPr>
        <w:t>，其中1</w:t>
      </w:r>
      <w:r>
        <w:rPr>
          <w:rFonts w:hint="eastAsia" w:ascii="仿宋_GB2312" w:hAnsi="仿宋_GB2312" w:eastAsia="仿宋_GB2312" w:cs="仿宋_GB2312"/>
          <w:sz w:val="32"/>
          <w:szCs w:val="32"/>
          <w:lang w:eastAsia="zh-CN"/>
        </w:rPr>
        <w:t>件</w:t>
      </w:r>
      <w:r>
        <w:rPr>
          <w:rFonts w:hint="eastAsia" w:ascii="仿宋_GB2312" w:hAnsi="仿宋_GB2312" w:eastAsia="仿宋_GB2312" w:cs="仿宋_GB2312"/>
          <w:sz w:val="32"/>
          <w:szCs w:val="32"/>
          <w:lang w:val="en-US" w:eastAsia="zh-CN"/>
        </w:rPr>
        <w:t>/条/套</w:t>
      </w:r>
      <w:r>
        <w:rPr>
          <w:rFonts w:hint="eastAsia" w:ascii="仿宋_GB2312" w:hAnsi="仿宋_GB2312" w:eastAsia="仿宋_GB2312" w:cs="仿宋_GB2312"/>
          <w:sz w:val="32"/>
          <w:szCs w:val="32"/>
        </w:rPr>
        <w:t>作为检验样品，</w:t>
      </w:r>
      <w:r>
        <w:rPr>
          <w:rFonts w:hint="eastAsia" w:ascii="仿宋_GB2312" w:hAnsi="仿宋_GB2312" w:eastAsia="仿宋_GB2312" w:cs="仿宋_GB2312"/>
          <w:sz w:val="32"/>
          <w:szCs w:val="32"/>
          <w:lang w:eastAsia="zh-CN"/>
        </w:rPr>
        <w:t>另外</w:t>
      </w:r>
      <w:r>
        <w:rPr>
          <w:rFonts w:hint="eastAsia" w:ascii="仿宋_GB2312" w:hAnsi="仿宋_GB2312" w:eastAsia="仿宋_GB2312" w:cs="仿宋_GB2312"/>
          <w:sz w:val="32"/>
          <w:szCs w:val="32"/>
          <w:lang w:val="en-US" w:eastAsia="zh-CN"/>
        </w:rPr>
        <w:t>1</w:t>
      </w:r>
      <w:r>
        <w:rPr>
          <w:rFonts w:hint="eastAsia" w:ascii="仿宋_GB2312" w:hAnsi="仿宋_GB2312" w:eastAsia="仿宋_GB2312" w:cs="仿宋_GB2312"/>
          <w:sz w:val="32"/>
          <w:szCs w:val="32"/>
          <w:lang w:eastAsia="zh-CN"/>
        </w:rPr>
        <w:t>件</w:t>
      </w:r>
      <w:r>
        <w:rPr>
          <w:rFonts w:hint="eastAsia" w:ascii="仿宋_GB2312" w:hAnsi="仿宋_GB2312" w:eastAsia="仿宋_GB2312" w:cs="仿宋_GB2312"/>
          <w:sz w:val="32"/>
          <w:szCs w:val="32"/>
          <w:lang w:val="en-US" w:eastAsia="zh-CN"/>
        </w:rPr>
        <w:t>/条/套</w:t>
      </w:r>
      <w:r>
        <w:rPr>
          <w:rFonts w:hint="eastAsia" w:ascii="仿宋_GB2312" w:hAnsi="仿宋_GB2312" w:eastAsia="仿宋_GB2312" w:cs="仿宋_GB2312"/>
          <w:sz w:val="32"/>
          <w:szCs w:val="32"/>
        </w:rPr>
        <w:t>作为备用样品。</w:t>
      </w:r>
    </w:p>
    <w:p w14:paraId="6CBBDB69">
      <w:pPr>
        <w:keepNext w:val="0"/>
        <w:keepLines w:val="0"/>
        <w:pageBreakBefore w:val="0"/>
        <w:kinsoku/>
        <w:wordWrap/>
        <w:overflowPunct/>
        <w:topLinePunct w:val="0"/>
        <w:autoSpaceDN/>
        <w:bidi w:val="0"/>
        <w:adjustRightInd/>
        <w:snapToGrid w:val="0"/>
        <w:spacing w:line="560" w:lineRule="exact"/>
        <w:textAlignment w:val="auto"/>
        <w:rPr>
          <w:szCs w:val="21"/>
        </w:rPr>
      </w:pPr>
    </w:p>
    <w:p w14:paraId="30F369DD">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黑体" w:hAnsi="黑体" w:eastAsia="黑体" w:cs="黑体"/>
          <w:sz w:val="32"/>
          <w:szCs w:val="32"/>
        </w:rPr>
      </w:pPr>
      <w:r>
        <w:rPr>
          <w:rFonts w:hint="eastAsia" w:ascii="黑体" w:hAnsi="黑体" w:eastAsia="黑体" w:cs="黑体"/>
          <w:sz w:val="32"/>
          <w:szCs w:val="32"/>
        </w:rPr>
        <w:t>2 检验依据</w:t>
      </w:r>
    </w:p>
    <w:tbl>
      <w:tblPr>
        <w:tblStyle w:val="11"/>
        <w:tblW w:w="917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1"/>
        <w:gridCol w:w="4126"/>
        <w:gridCol w:w="4087"/>
      </w:tblGrid>
      <w:tr w14:paraId="614895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trPr>
        <w:tc>
          <w:tcPr>
            <w:tcW w:w="961" w:type="dxa"/>
            <w:tcBorders>
              <w:top w:val="single" w:color="auto" w:sz="4" w:space="0"/>
              <w:left w:val="single" w:color="auto" w:sz="4" w:space="0"/>
              <w:bottom w:val="single" w:color="auto" w:sz="4" w:space="0"/>
              <w:right w:val="single" w:color="auto" w:sz="4" w:space="0"/>
            </w:tcBorders>
            <w:shd w:val="clear" w:color="auto" w:fill="auto"/>
            <w:vAlign w:val="center"/>
          </w:tcPr>
          <w:p w14:paraId="4F0E2EFE">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b/>
                <w:bCs/>
                <w:sz w:val="28"/>
                <w:szCs w:val="28"/>
                <w:highlight w:val="none"/>
                <w:lang w:bidi="ar"/>
              </w:rPr>
            </w:pPr>
            <w:r>
              <w:rPr>
                <w:rFonts w:hint="eastAsia" w:ascii="Times New Roman" w:hAnsi="Times New Roman" w:eastAsia="仿宋_GB2312" w:cs="仿宋_GB2312"/>
                <w:b/>
                <w:bCs/>
                <w:sz w:val="28"/>
                <w:szCs w:val="28"/>
                <w:highlight w:val="none"/>
                <w:lang w:bidi="ar"/>
              </w:rPr>
              <w:t>序号</w:t>
            </w:r>
          </w:p>
        </w:tc>
        <w:tc>
          <w:tcPr>
            <w:tcW w:w="4126" w:type="dxa"/>
            <w:tcBorders>
              <w:top w:val="single" w:color="auto" w:sz="4" w:space="0"/>
              <w:left w:val="single" w:color="auto" w:sz="4" w:space="0"/>
              <w:bottom w:val="single" w:color="auto" w:sz="4" w:space="0"/>
              <w:right w:val="single" w:color="auto" w:sz="4" w:space="0"/>
            </w:tcBorders>
            <w:shd w:val="clear" w:color="auto" w:fill="auto"/>
            <w:vAlign w:val="center"/>
          </w:tcPr>
          <w:p w14:paraId="0B8E3A14">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b/>
                <w:bCs/>
                <w:sz w:val="28"/>
                <w:szCs w:val="28"/>
                <w:highlight w:val="none"/>
                <w:lang w:bidi="ar"/>
              </w:rPr>
            </w:pPr>
            <w:r>
              <w:rPr>
                <w:rFonts w:hint="eastAsia" w:ascii="Times New Roman" w:hAnsi="Times New Roman" w:eastAsia="仿宋_GB2312" w:cs="仿宋_GB2312"/>
                <w:b/>
                <w:bCs/>
                <w:sz w:val="28"/>
                <w:szCs w:val="28"/>
                <w:highlight w:val="none"/>
                <w:lang w:bidi="ar"/>
              </w:rPr>
              <w:t>检验项目</w:t>
            </w:r>
          </w:p>
        </w:tc>
        <w:tc>
          <w:tcPr>
            <w:tcW w:w="4087" w:type="dxa"/>
            <w:tcBorders>
              <w:top w:val="single" w:color="auto" w:sz="4" w:space="0"/>
              <w:left w:val="single" w:color="auto" w:sz="4" w:space="0"/>
              <w:bottom w:val="single" w:color="auto" w:sz="4" w:space="0"/>
              <w:right w:val="single" w:color="auto" w:sz="4" w:space="0"/>
            </w:tcBorders>
            <w:shd w:val="clear" w:color="auto" w:fill="auto"/>
            <w:vAlign w:val="center"/>
          </w:tcPr>
          <w:p w14:paraId="6BA131F0">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b/>
                <w:bCs/>
                <w:sz w:val="28"/>
                <w:szCs w:val="28"/>
                <w:highlight w:val="none"/>
                <w:lang w:bidi="ar"/>
              </w:rPr>
            </w:pPr>
            <w:r>
              <w:rPr>
                <w:rFonts w:hint="eastAsia" w:ascii="Times New Roman" w:hAnsi="Times New Roman" w:eastAsia="仿宋_GB2312" w:cs="仿宋_GB2312"/>
                <w:b/>
                <w:bCs/>
                <w:sz w:val="28"/>
                <w:szCs w:val="28"/>
                <w:highlight w:val="none"/>
                <w:lang w:bidi="ar"/>
              </w:rPr>
              <w:t>检验方法</w:t>
            </w:r>
          </w:p>
        </w:tc>
      </w:tr>
      <w:tr w14:paraId="3A3ED0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961" w:type="dxa"/>
            <w:tcBorders>
              <w:top w:val="single" w:color="auto" w:sz="4" w:space="0"/>
              <w:left w:val="single" w:color="auto" w:sz="4" w:space="0"/>
              <w:bottom w:val="single" w:color="auto" w:sz="4" w:space="0"/>
              <w:right w:val="single" w:color="auto" w:sz="4" w:space="0"/>
            </w:tcBorders>
            <w:shd w:val="clear" w:color="auto" w:fill="auto"/>
          </w:tcPr>
          <w:p w14:paraId="5024E420">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1</w:t>
            </w:r>
          </w:p>
        </w:tc>
        <w:tc>
          <w:tcPr>
            <w:tcW w:w="4126" w:type="dxa"/>
            <w:tcBorders>
              <w:top w:val="single" w:color="auto" w:sz="4" w:space="0"/>
              <w:left w:val="single" w:color="auto" w:sz="4" w:space="0"/>
              <w:bottom w:val="single" w:color="auto" w:sz="4" w:space="0"/>
              <w:right w:val="single" w:color="auto" w:sz="4" w:space="0"/>
            </w:tcBorders>
            <w:shd w:val="clear" w:color="auto" w:fill="auto"/>
            <w:vAlign w:val="center"/>
          </w:tcPr>
          <w:p w14:paraId="084C4BA9">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甲醛含量</w:t>
            </w:r>
          </w:p>
        </w:tc>
        <w:tc>
          <w:tcPr>
            <w:tcW w:w="4087" w:type="dxa"/>
            <w:tcBorders>
              <w:top w:val="single" w:color="auto" w:sz="4" w:space="0"/>
              <w:left w:val="single" w:color="auto" w:sz="4" w:space="0"/>
              <w:bottom w:val="single" w:color="auto" w:sz="4" w:space="0"/>
              <w:right w:val="single" w:color="auto" w:sz="4" w:space="0"/>
            </w:tcBorders>
            <w:shd w:val="clear" w:color="auto" w:fill="auto"/>
            <w:vAlign w:val="center"/>
          </w:tcPr>
          <w:p w14:paraId="64DCB074">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GB/T 2912.1—2009</w:t>
            </w:r>
          </w:p>
        </w:tc>
      </w:tr>
      <w:tr w14:paraId="7543E8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961" w:type="dxa"/>
            <w:tcBorders>
              <w:top w:val="single" w:color="auto" w:sz="4" w:space="0"/>
              <w:left w:val="single" w:color="auto" w:sz="4" w:space="0"/>
              <w:bottom w:val="single" w:color="auto" w:sz="4" w:space="0"/>
              <w:right w:val="single" w:color="auto" w:sz="4" w:space="0"/>
            </w:tcBorders>
            <w:shd w:val="clear" w:color="auto" w:fill="auto"/>
          </w:tcPr>
          <w:p w14:paraId="348DBF8C">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2</w:t>
            </w:r>
          </w:p>
        </w:tc>
        <w:tc>
          <w:tcPr>
            <w:tcW w:w="4126" w:type="dxa"/>
            <w:tcBorders>
              <w:top w:val="single" w:color="auto" w:sz="4" w:space="0"/>
              <w:left w:val="single" w:color="auto" w:sz="4" w:space="0"/>
              <w:bottom w:val="single" w:color="auto" w:sz="4" w:space="0"/>
              <w:right w:val="single" w:color="auto" w:sz="4" w:space="0"/>
            </w:tcBorders>
            <w:shd w:val="clear" w:color="auto" w:fill="auto"/>
            <w:vAlign w:val="center"/>
          </w:tcPr>
          <w:p w14:paraId="0B3905F7">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pH值</w:t>
            </w:r>
          </w:p>
        </w:tc>
        <w:tc>
          <w:tcPr>
            <w:tcW w:w="4087" w:type="dxa"/>
            <w:tcBorders>
              <w:top w:val="single" w:color="auto" w:sz="4" w:space="0"/>
              <w:left w:val="single" w:color="auto" w:sz="4" w:space="0"/>
              <w:bottom w:val="single" w:color="auto" w:sz="4" w:space="0"/>
              <w:right w:val="single" w:color="auto" w:sz="4" w:space="0"/>
            </w:tcBorders>
            <w:shd w:val="clear" w:color="auto" w:fill="auto"/>
            <w:vAlign w:val="center"/>
          </w:tcPr>
          <w:p w14:paraId="49772F4B">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GB/T 7573—2009</w:t>
            </w:r>
          </w:p>
        </w:tc>
      </w:tr>
      <w:tr w14:paraId="2A4014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961" w:type="dxa"/>
            <w:tcBorders>
              <w:top w:val="single" w:color="auto" w:sz="4" w:space="0"/>
              <w:left w:val="single" w:color="auto" w:sz="4" w:space="0"/>
              <w:bottom w:val="single" w:color="auto" w:sz="4" w:space="0"/>
              <w:right w:val="single" w:color="auto" w:sz="4" w:space="0"/>
            </w:tcBorders>
            <w:shd w:val="clear" w:color="auto" w:fill="auto"/>
          </w:tcPr>
          <w:p w14:paraId="5480700E">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3</w:t>
            </w:r>
          </w:p>
        </w:tc>
        <w:tc>
          <w:tcPr>
            <w:tcW w:w="4126" w:type="dxa"/>
            <w:tcBorders>
              <w:top w:val="single" w:color="auto" w:sz="4" w:space="0"/>
              <w:left w:val="single" w:color="auto" w:sz="4" w:space="0"/>
              <w:bottom w:val="single" w:color="auto" w:sz="4" w:space="0"/>
              <w:right w:val="single" w:color="auto" w:sz="4" w:space="0"/>
            </w:tcBorders>
            <w:shd w:val="clear" w:color="auto" w:fill="auto"/>
            <w:vAlign w:val="center"/>
          </w:tcPr>
          <w:p w14:paraId="1B35BC02">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可分解致癌芳香胺染料</w:t>
            </w:r>
          </w:p>
        </w:tc>
        <w:tc>
          <w:tcPr>
            <w:tcW w:w="4087" w:type="dxa"/>
            <w:tcBorders>
              <w:top w:val="single" w:color="auto" w:sz="4" w:space="0"/>
              <w:left w:val="single" w:color="auto" w:sz="4" w:space="0"/>
              <w:bottom w:val="single" w:color="auto" w:sz="4" w:space="0"/>
              <w:right w:val="single" w:color="auto" w:sz="4" w:space="0"/>
            </w:tcBorders>
            <w:shd w:val="clear" w:color="auto" w:fill="auto"/>
            <w:vAlign w:val="center"/>
          </w:tcPr>
          <w:p w14:paraId="12DCC00B">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GB/T 17592—2024</w:t>
            </w:r>
          </w:p>
          <w:p w14:paraId="52AC8888">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GB/T 23344—2009</w:t>
            </w:r>
          </w:p>
        </w:tc>
      </w:tr>
      <w:tr w14:paraId="6CEC69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961" w:type="dxa"/>
            <w:tcBorders>
              <w:top w:val="single" w:color="auto" w:sz="4" w:space="0"/>
              <w:left w:val="single" w:color="auto" w:sz="4" w:space="0"/>
              <w:bottom w:val="single" w:color="auto" w:sz="4" w:space="0"/>
              <w:right w:val="single" w:color="auto" w:sz="4" w:space="0"/>
            </w:tcBorders>
            <w:shd w:val="clear" w:color="auto" w:fill="auto"/>
          </w:tcPr>
          <w:p w14:paraId="0F92912B">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4</w:t>
            </w:r>
          </w:p>
        </w:tc>
        <w:tc>
          <w:tcPr>
            <w:tcW w:w="4126" w:type="dxa"/>
            <w:tcBorders>
              <w:top w:val="single" w:color="auto" w:sz="4" w:space="0"/>
              <w:left w:val="single" w:color="auto" w:sz="4" w:space="0"/>
              <w:bottom w:val="single" w:color="auto" w:sz="4" w:space="0"/>
              <w:right w:val="single" w:color="auto" w:sz="4" w:space="0"/>
            </w:tcBorders>
            <w:shd w:val="clear" w:color="auto" w:fill="auto"/>
            <w:vAlign w:val="center"/>
          </w:tcPr>
          <w:p w14:paraId="11B4C2D9">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耐水色牢度</w:t>
            </w:r>
          </w:p>
        </w:tc>
        <w:tc>
          <w:tcPr>
            <w:tcW w:w="4087" w:type="dxa"/>
            <w:tcBorders>
              <w:top w:val="single" w:color="auto" w:sz="4" w:space="0"/>
              <w:left w:val="single" w:color="auto" w:sz="4" w:space="0"/>
              <w:bottom w:val="single" w:color="auto" w:sz="4" w:space="0"/>
              <w:right w:val="single" w:color="auto" w:sz="4" w:space="0"/>
            </w:tcBorders>
            <w:shd w:val="clear" w:color="auto" w:fill="auto"/>
            <w:vAlign w:val="center"/>
          </w:tcPr>
          <w:p w14:paraId="10CC433A">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GB/T 5713—2013</w:t>
            </w:r>
          </w:p>
        </w:tc>
      </w:tr>
      <w:tr w14:paraId="7C0D24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961" w:type="dxa"/>
            <w:tcBorders>
              <w:top w:val="single" w:color="auto" w:sz="4" w:space="0"/>
              <w:left w:val="single" w:color="auto" w:sz="4" w:space="0"/>
              <w:bottom w:val="single" w:color="auto" w:sz="4" w:space="0"/>
              <w:right w:val="single" w:color="auto" w:sz="4" w:space="0"/>
            </w:tcBorders>
            <w:shd w:val="clear" w:color="auto" w:fill="auto"/>
          </w:tcPr>
          <w:p w14:paraId="767A3FA8">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5</w:t>
            </w:r>
          </w:p>
        </w:tc>
        <w:tc>
          <w:tcPr>
            <w:tcW w:w="4126" w:type="dxa"/>
            <w:tcBorders>
              <w:top w:val="single" w:color="auto" w:sz="4" w:space="0"/>
              <w:left w:val="single" w:color="auto" w:sz="4" w:space="0"/>
              <w:bottom w:val="single" w:color="auto" w:sz="4" w:space="0"/>
              <w:right w:val="single" w:color="auto" w:sz="4" w:space="0"/>
            </w:tcBorders>
            <w:shd w:val="clear" w:color="auto" w:fill="auto"/>
            <w:vAlign w:val="center"/>
          </w:tcPr>
          <w:p w14:paraId="54C406FE">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耐酸汗渍色牢度</w:t>
            </w:r>
          </w:p>
        </w:tc>
        <w:tc>
          <w:tcPr>
            <w:tcW w:w="4087" w:type="dxa"/>
            <w:tcBorders>
              <w:top w:val="single" w:color="auto" w:sz="4" w:space="0"/>
              <w:left w:val="single" w:color="auto" w:sz="4" w:space="0"/>
              <w:bottom w:val="single" w:color="auto" w:sz="4" w:space="0"/>
              <w:right w:val="single" w:color="auto" w:sz="4" w:space="0"/>
            </w:tcBorders>
            <w:shd w:val="clear" w:color="auto" w:fill="auto"/>
            <w:vAlign w:val="center"/>
          </w:tcPr>
          <w:p w14:paraId="452470C4">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GB/T 3922—2013</w:t>
            </w:r>
          </w:p>
        </w:tc>
      </w:tr>
      <w:tr w14:paraId="37DF67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961" w:type="dxa"/>
            <w:tcBorders>
              <w:top w:val="single" w:color="auto" w:sz="4" w:space="0"/>
              <w:left w:val="single" w:color="auto" w:sz="4" w:space="0"/>
              <w:bottom w:val="single" w:color="auto" w:sz="4" w:space="0"/>
              <w:right w:val="single" w:color="auto" w:sz="4" w:space="0"/>
            </w:tcBorders>
            <w:shd w:val="clear" w:color="auto" w:fill="auto"/>
          </w:tcPr>
          <w:p w14:paraId="053DF40C">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6</w:t>
            </w:r>
          </w:p>
        </w:tc>
        <w:tc>
          <w:tcPr>
            <w:tcW w:w="4126" w:type="dxa"/>
            <w:tcBorders>
              <w:top w:val="single" w:color="auto" w:sz="4" w:space="0"/>
              <w:left w:val="single" w:color="auto" w:sz="4" w:space="0"/>
              <w:bottom w:val="single" w:color="auto" w:sz="4" w:space="0"/>
              <w:right w:val="single" w:color="auto" w:sz="4" w:space="0"/>
            </w:tcBorders>
            <w:shd w:val="clear" w:color="auto" w:fill="auto"/>
            <w:vAlign w:val="center"/>
          </w:tcPr>
          <w:p w14:paraId="4FA759E7">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耐碱汗渍色牢度</w:t>
            </w:r>
          </w:p>
        </w:tc>
        <w:tc>
          <w:tcPr>
            <w:tcW w:w="4087" w:type="dxa"/>
            <w:tcBorders>
              <w:top w:val="single" w:color="auto" w:sz="4" w:space="0"/>
              <w:left w:val="single" w:color="auto" w:sz="4" w:space="0"/>
              <w:bottom w:val="single" w:color="auto" w:sz="4" w:space="0"/>
              <w:right w:val="single" w:color="auto" w:sz="4" w:space="0"/>
            </w:tcBorders>
            <w:shd w:val="clear" w:color="auto" w:fill="auto"/>
            <w:vAlign w:val="center"/>
          </w:tcPr>
          <w:p w14:paraId="4B3378DF">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GB/T 3922—2013</w:t>
            </w:r>
          </w:p>
        </w:tc>
      </w:tr>
      <w:tr w14:paraId="5522E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961" w:type="dxa"/>
            <w:tcBorders>
              <w:top w:val="single" w:color="auto" w:sz="4" w:space="0"/>
              <w:left w:val="single" w:color="auto" w:sz="4" w:space="0"/>
              <w:bottom w:val="single" w:color="auto" w:sz="4" w:space="0"/>
              <w:right w:val="single" w:color="auto" w:sz="4" w:space="0"/>
            </w:tcBorders>
            <w:shd w:val="clear" w:color="auto" w:fill="auto"/>
          </w:tcPr>
          <w:p w14:paraId="6A634AE2">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7</w:t>
            </w:r>
          </w:p>
        </w:tc>
        <w:tc>
          <w:tcPr>
            <w:tcW w:w="4126" w:type="dxa"/>
            <w:tcBorders>
              <w:top w:val="single" w:color="auto" w:sz="4" w:space="0"/>
              <w:left w:val="single" w:color="auto" w:sz="4" w:space="0"/>
              <w:bottom w:val="single" w:color="auto" w:sz="4" w:space="0"/>
              <w:right w:val="single" w:color="auto" w:sz="4" w:space="0"/>
            </w:tcBorders>
            <w:shd w:val="clear" w:color="auto" w:fill="auto"/>
            <w:vAlign w:val="center"/>
          </w:tcPr>
          <w:p w14:paraId="7650526F">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耐干摩擦色牢度</w:t>
            </w:r>
          </w:p>
        </w:tc>
        <w:tc>
          <w:tcPr>
            <w:tcW w:w="4087" w:type="dxa"/>
            <w:tcBorders>
              <w:top w:val="single" w:color="auto" w:sz="4" w:space="0"/>
              <w:left w:val="single" w:color="auto" w:sz="4" w:space="0"/>
              <w:bottom w:val="single" w:color="auto" w:sz="4" w:space="0"/>
              <w:right w:val="single" w:color="auto" w:sz="4" w:space="0"/>
            </w:tcBorders>
            <w:shd w:val="clear" w:color="auto" w:fill="auto"/>
            <w:vAlign w:val="center"/>
          </w:tcPr>
          <w:p w14:paraId="4F6E8AAF">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GB/T 3920—2008</w:t>
            </w:r>
          </w:p>
        </w:tc>
      </w:tr>
      <w:tr w14:paraId="69B2E5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961" w:type="dxa"/>
            <w:tcBorders>
              <w:top w:val="single" w:color="auto" w:sz="4" w:space="0"/>
              <w:left w:val="single" w:color="auto" w:sz="4" w:space="0"/>
              <w:bottom w:val="single" w:color="auto" w:sz="4" w:space="0"/>
              <w:right w:val="single" w:color="auto" w:sz="4" w:space="0"/>
            </w:tcBorders>
            <w:shd w:val="clear" w:color="auto" w:fill="auto"/>
          </w:tcPr>
          <w:p w14:paraId="1E173E7A">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8</w:t>
            </w:r>
          </w:p>
        </w:tc>
        <w:tc>
          <w:tcPr>
            <w:tcW w:w="4126" w:type="dxa"/>
            <w:tcBorders>
              <w:top w:val="single" w:color="auto" w:sz="4" w:space="0"/>
              <w:left w:val="single" w:color="auto" w:sz="4" w:space="0"/>
              <w:bottom w:val="single" w:color="auto" w:sz="4" w:space="0"/>
              <w:right w:val="single" w:color="auto" w:sz="4" w:space="0"/>
            </w:tcBorders>
            <w:shd w:val="clear" w:color="auto" w:fill="auto"/>
            <w:vAlign w:val="center"/>
          </w:tcPr>
          <w:p w14:paraId="7A0746EB">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异味</w:t>
            </w:r>
          </w:p>
        </w:tc>
        <w:tc>
          <w:tcPr>
            <w:tcW w:w="4087" w:type="dxa"/>
            <w:tcBorders>
              <w:top w:val="single" w:color="auto" w:sz="4" w:space="0"/>
              <w:left w:val="single" w:color="auto" w:sz="4" w:space="0"/>
              <w:bottom w:val="single" w:color="auto" w:sz="4" w:space="0"/>
              <w:right w:val="single" w:color="auto" w:sz="4" w:space="0"/>
            </w:tcBorders>
            <w:shd w:val="clear" w:color="auto" w:fill="auto"/>
            <w:vAlign w:val="center"/>
          </w:tcPr>
          <w:p w14:paraId="776C2772">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GB 18401—2010</w:t>
            </w:r>
          </w:p>
        </w:tc>
      </w:tr>
      <w:tr w14:paraId="66F80F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961" w:type="dxa"/>
            <w:tcBorders>
              <w:top w:val="single" w:color="auto" w:sz="4" w:space="0"/>
              <w:left w:val="single" w:color="auto" w:sz="4" w:space="0"/>
              <w:bottom w:val="single" w:color="auto" w:sz="4" w:space="0"/>
              <w:right w:val="single" w:color="auto" w:sz="4" w:space="0"/>
            </w:tcBorders>
            <w:shd w:val="clear" w:color="auto" w:fill="auto"/>
            <w:vAlign w:val="center"/>
          </w:tcPr>
          <w:p w14:paraId="341DC3FF">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9</w:t>
            </w:r>
          </w:p>
        </w:tc>
        <w:tc>
          <w:tcPr>
            <w:tcW w:w="4126" w:type="dxa"/>
            <w:tcBorders>
              <w:top w:val="single" w:color="auto" w:sz="4" w:space="0"/>
              <w:left w:val="single" w:color="auto" w:sz="4" w:space="0"/>
              <w:bottom w:val="single" w:color="auto" w:sz="4" w:space="0"/>
              <w:right w:val="single" w:color="auto" w:sz="4" w:space="0"/>
            </w:tcBorders>
            <w:shd w:val="clear" w:color="auto" w:fill="auto"/>
            <w:vAlign w:val="center"/>
          </w:tcPr>
          <w:p w14:paraId="30590524">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纤维含量</w:t>
            </w:r>
          </w:p>
        </w:tc>
        <w:tc>
          <w:tcPr>
            <w:tcW w:w="4087" w:type="dxa"/>
            <w:tcBorders>
              <w:top w:val="single" w:color="auto" w:sz="4" w:space="0"/>
              <w:left w:val="single" w:color="auto" w:sz="4" w:space="0"/>
              <w:bottom w:val="single" w:color="auto" w:sz="4" w:space="0"/>
              <w:right w:val="single" w:color="auto" w:sz="4" w:space="0"/>
            </w:tcBorders>
            <w:shd w:val="clear" w:color="auto" w:fill="auto"/>
            <w:vAlign w:val="center"/>
          </w:tcPr>
          <w:p w14:paraId="207D9396">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FZ/T 01057.1—2007</w:t>
            </w:r>
          </w:p>
          <w:p w14:paraId="0C93B5E7">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FZ/T 01057.2—2007</w:t>
            </w:r>
          </w:p>
          <w:p w14:paraId="19B616EE">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FZ/T 01057.3—2007</w:t>
            </w:r>
          </w:p>
          <w:p w14:paraId="799A6689">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FZ/T 01057.4—2007</w:t>
            </w:r>
          </w:p>
          <w:p w14:paraId="335C9590">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GB/T 2910.1—2009</w:t>
            </w:r>
          </w:p>
          <w:p w14:paraId="01E273E2">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GB/T 2910.2—2009</w:t>
            </w:r>
          </w:p>
          <w:p w14:paraId="67844BEA">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GB/T 2910.3—2009</w:t>
            </w:r>
          </w:p>
          <w:p w14:paraId="59612D4B">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GB/T 2910.4—2022</w:t>
            </w:r>
          </w:p>
          <w:p w14:paraId="00138C90">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GB/T 2910.5—2009</w:t>
            </w:r>
          </w:p>
          <w:p w14:paraId="09041C86">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GB/T 2910.6—2009</w:t>
            </w:r>
          </w:p>
          <w:p w14:paraId="7DC6FA99">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GB/T 2910.7—2009</w:t>
            </w:r>
          </w:p>
          <w:p w14:paraId="5588B6BC">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GB/T 2910.11—2009</w:t>
            </w:r>
          </w:p>
          <w:p w14:paraId="78D73B5C">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GB/T 2910.12—2023</w:t>
            </w:r>
          </w:p>
          <w:p w14:paraId="740D3C4B">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GB/T 2910.20—2009</w:t>
            </w:r>
          </w:p>
          <w:p w14:paraId="3ACEFD76">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GB/T 38015—2019</w:t>
            </w:r>
          </w:p>
          <w:p w14:paraId="31DE6738">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FZ/T 01101—2008</w:t>
            </w:r>
          </w:p>
          <w:p w14:paraId="3C2A9088">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FZ/T 01112—2012</w:t>
            </w:r>
          </w:p>
          <w:p w14:paraId="47F78C4B">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FZ/T 01026—2017</w:t>
            </w:r>
          </w:p>
          <w:p w14:paraId="7ECDFFBF">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FZ/T 01095—2002</w:t>
            </w:r>
          </w:p>
          <w:p w14:paraId="6F86148D">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FZ/T 30003—2009</w:t>
            </w:r>
          </w:p>
          <w:p w14:paraId="3F688584">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eastAsia="仿宋_GB2312"/>
                <w:lang w:val="en-US" w:eastAsia="zh-CN"/>
              </w:rPr>
            </w:pPr>
            <w:r>
              <w:rPr>
                <w:rFonts w:hint="eastAsia" w:ascii="Times New Roman" w:hAnsi="Times New Roman" w:eastAsia="仿宋_GB2312" w:cs="仿宋_GB2312"/>
                <w:color w:val="000000"/>
                <w:sz w:val="28"/>
                <w:szCs w:val="28"/>
                <w:highlight w:val="none"/>
              </w:rPr>
              <w:t>FZ/T 30003—20</w:t>
            </w:r>
            <w:r>
              <w:rPr>
                <w:rFonts w:hint="eastAsia" w:eastAsia="仿宋_GB2312" w:cs="仿宋_GB2312"/>
                <w:color w:val="000000"/>
                <w:sz w:val="28"/>
                <w:szCs w:val="28"/>
                <w:highlight w:val="none"/>
                <w:lang w:val="en-US" w:eastAsia="zh-CN"/>
              </w:rPr>
              <w:t>24</w:t>
            </w:r>
          </w:p>
        </w:tc>
      </w:tr>
      <w:tr w14:paraId="7F4D3F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961" w:type="dxa"/>
            <w:tcBorders>
              <w:top w:val="single" w:color="auto" w:sz="4" w:space="0"/>
              <w:left w:val="single" w:color="auto" w:sz="4" w:space="0"/>
              <w:bottom w:val="single" w:color="auto" w:sz="4" w:space="0"/>
              <w:right w:val="single" w:color="auto" w:sz="4" w:space="0"/>
            </w:tcBorders>
            <w:shd w:val="clear" w:color="auto" w:fill="auto"/>
          </w:tcPr>
          <w:p w14:paraId="020B35CA">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10</w:t>
            </w:r>
          </w:p>
        </w:tc>
        <w:tc>
          <w:tcPr>
            <w:tcW w:w="4126" w:type="dxa"/>
            <w:tcBorders>
              <w:top w:val="single" w:color="auto" w:sz="4" w:space="0"/>
              <w:left w:val="single" w:color="auto" w:sz="4" w:space="0"/>
              <w:bottom w:val="single" w:color="auto" w:sz="4" w:space="0"/>
              <w:right w:val="single" w:color="auto" w:sz="4" w:space="0"/>
            </w:tcBorders>
            <w:shd w:val="clear" w:color="auto" w:fill="auto"/>
            <w:vAlign w:val="center"/>
          </w:tcPr>
          <w:p w14:paraId="3AC80E26">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含绒量</w:t>
            </w:r>
          </w:p>
        </w:tc>
        <w:tc>
          <w:tcPr>
            <w:tcW w:w="4087" w:type="dxa"/>
            <w:tcBorders>
              <w:top w:val="single" w:color="auto" w:sz="4" w:space="0"/>
              <w:left w:val="single" w:color="auto" w:sz="4" w:space="0"/>
              <w:bottom w:val="single" w:color="auto" w:sz="4" w:space="0"/>
              <w:right w:val="single" w:color="auto" w:sz="4" w:space="0"/>
            </w:tcBorders>
            <w:shd w:val="clear" w:color="auto" w:fill="auto"/>
            <w:vAlign w:val="center"/>
          </w:tcPr>
          <w:p w14:paraId="064B5F6B">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GB/T 14272—20</w:t>
            </w:r>
            <w:r>
              <w:rPr>
                <w:rFonts w:hint="eastAsia" w:eastAsia="仿宋_GB2312" w:cs="仿宋_GB2312"/>
                <w:color w:val="000000"/>
                <w:sz w:val="28"/>
                <w:szCs w:val="28"/>
                <w:highlight w:val="none"/>
                <w:lang w:val="en-US" w:eastAsia="zh-CN"/>
              </w:rPr>
              <w:t>1</w:t>
            </w:r>
            <w:r>
              <w:rPr>
                <w:rFonts w:hint="eastAsia" w:ascii="Times New Roman" w:hAnsi="Times New Roman" w:eastAsia="仿宋_GB2312" w:cs="仿宋_GB2312"/>
                <w:color w:val="000000"/>
                <w:sz w:val="28"/>
                <w:szCs w:val="28"/>
                <w:highlight w:val="none"/>
              </w:rPr>
              <w:t>1</w:t>
            </w:r>
          </w:p>
        </w:tc>
      </w:tr>
      <w:tr w14:paraId="5BC33A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961" w:type="dxa"/>
            <w:tcBorders>
              <w:top w:val="single" w:color="auto" w:sz="4" w:space="0"/>
              <w:left w:val="single" w:color="auto" w:sz="4" w:space="0"/>
              <w:bottom w:val="single" w:color="auto" w:sz="4" w:space="0"/>
              <w:right w:val="single" w:color="auto" w:sz="4" w:space="0"/>
            </w:tcBorders>
            <w:shd w:val="clear" w:color="auto" w:fill="auto"/>
            <w:vAlign w:val="center"/>
          </w:tcPr>
          <w:p w14:paraId="116D38F8">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11</w:t>
            </w:r>
          </w:p>
        </w:tc>
        <w:tc>
          <w:tcPr>
            <w:tcW w:w="4126" w:type="dxa"/>
            <w:tcBorders>
              <w:top w:val="single" w:color="auto" w:sz="4" w:space="0"/>
              <w:left w:val="single" w:color="auto" w:sz="4" w:space="0"/>
              <w:bottom w:val="single" w:color="auto" w:sz="4" w:space="0"/>
              <w:right w:val="single" w:color="auto" w:sz="4" w:space="0"/>
            </w:tcBorders>
            <w:shd w:val="clear" w:color="auto" w:fill="auto"/>
            <w:vAlign w:val="center"/>
          </w:tcPr>
          <w:p w14:paraId="2F3806EF">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绒子含量</w:t>
            </w:r>
          </w:p>
        </w:tc>
        <w:tc>
          <w:tcPr>
            <w:tcW w:w="4087" w:type="dxa"/>
            <w:tcBorders>
              <w:top w:val="single" w:color="auto" w:sz="4" w:space="0"/>
              <w:left w:val="single" w:color="auto" w:sz="4" w:space="0"/>
              <w:bottom w:val="single" w:color="auto" w:sz="4" w:space="0"/>
              <w:right w:val="single" w:color="auto" w:sz="4" w:space="0"/>
            </w:tcBorders>
            <w:shd w:val="clear" w:color="auto" w:fill="auto"/>
            <w:vAlign w:val="center"/>
          </w:tcPr>
          <w:p w14:paraId="7F1D9307">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GB/T 14272—2021</w:t>
            </w:r>
          </w:p>
          <w:p w14:paraId="0C9A9D67">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GB/T 10288—2016</w:t>
            </w:r>
          </w:p>
        </w:tc>
      </w:tr>
      <w:tr w14:paraId="68DB1B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961" w:type="dxa"/>
            <w:tcBorders>
              <w:top w:val="single" w:color="auto" w:sz="4" w:space="0"/>
              <w:left w:val="single" w:color="auto" w:sz="4" w:space="0"/>
              <w:bottom w:val="single" w:color="auto" w:sz="4" w:space="0"/>
              <w:right w:val="single" w:color="auto" w:sz="4" w:space="0"/>
            </w:tcBorders>
            <w:shd w:val="clear" w:color="auto" w:fill="auto"/>
            <w:vAlign w:val="center"/>
          </w:tcPr>
          <w:p w14:paraId="35B97BD7">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default" w:ascii="Times New Roman" w:hAnsi="Times New Roman" w:eastAsia="仿宋_GB2312" w:cs="仿宋_GB2312"/>
                <w:color w:val="000000"/>
                <w:sz w:val="28"/>
                <w:szCs w:val="28"/>
                <w:highlight w:val="none"/>
                <w:lang w:val="en-US" w:eastAsia="zh-CN"/>
              </w:rPr>
            </w:pPr>
            <w:r>
              <w:rPr>
                <w:rFonts w:hint="eastAsia" w:eastAsia="仿宋_GB2312" w:cs="仿宋_GB2312"/>
                <w:color w:val="000000"/>
                <w:sz w:val="28"/>
                <w:szCs w:val="28"/>
                <w:highlight w:val="none"/>
                <w:lang w:val="en-US" w:eastAsia="zh-CN"/>
              </w:rPr>
              <w:t>12</w:t>
            </w:r>
          </w:p>
        </w:tc>
        <w:tc>
          <w:tcPr>
            <w:tcW w:w="4126" w:type="dxa"/>
            <w:tcBorders>
              <w:top w:val="single" w:color="auto" w:sz="4" w:space="0"/>
              <w:left w:val="single" w:color="auto" w:sz="4" w:space="0"/>
              <w:bottom w:val="single" w:color="auto" w:sz="4" w:space="0"/>
              <w:right w:val="single" w:color="auto" w:sz="4" w:space="0"/>
            </w:tcBorders>
            <w:shd w:val="clear" w:color="auto" w:fill="auto"/>
            <w:vAlign w:val="center"/>
          </w:tcPr>
          <w:p w14:paraId="3534E2DC">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kern w:val="2"/>
                <w:sz w:val="28"/>
                <w:szCs w:val="28"/>
                <w:lang w:val="en-US" w:eastAsia="zh-CN" w:bidi="ar-SA"/>
              </w:rPr>
            </w:pPr>
            <w:r>
              <w:rPr>
                <w:rFonts w:hint="eastAsia" w:ascii="Times New Roman" w:hAnsi="Times New Roman" w:eastAsia="仿宋_GB2312" w:cs="仿宋_GB2312"/>
                <w:color w:val="000000"/>
                <w:sz w:val="28"/>
                <w:szCs w:val="28"/>
                <w:lang w:val="en-US" w:eastAsia="zh-CN"/>
              </w:rPr>
              <w:t>绒丝+羽丝</w:t>
            </w:r>
          </w:p>
        </w:tc>
        <w:tc>
          <w:tcPr>
            <w:tcW w:w="4087" w:type="dxa"/>
            <w:tcBorders>
              <w:top w:val="single" w:color="auto" w:sz="4" w:space="0"/>
              <w:left w:val="single" w:color="auto" w:sz="4" w:space="0"/>
              <w:bottom w:val="single" w:color="auto" w:sz="4" w:space="0"/>
              <w:right w:val="single" w:color="auto" w:sz="4" w:space="0"/>
            </w:tcBorders>
            <w:shd w:val="clear" w:color="auto" w:fill="auto"/>
            <w:vAlign w:val="center"/>
          </w:tcPr>
          <w:p w14:paraId="31AEEF8C">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GB/T 10288—2016</w:t>
            </w:r>
          </w:p>
          <w:p w14:paraId="170E0CF2">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kern w:val="2"/>
                <w:sz w:val="28"/>
                <w:szCs w:val="28"/>
                <w:lang w:val="en-US" w:eastAsia="zh-CN" w:bidi="ar-SA"/>
              </w:rPr>
            </w:pPr>
            <w:r>
              <w:rPr>
                <w:rFonts w:hint="eastAsia" w:ascii="Times New Roman" w:hAnsi="Times New Roman" w:eastAsia="仿宋_GB2312" w:cs="仿宋_GB2312"/>
                <w:color w:val="000000"/>
                <w:sz w:val="28"/>
                <w:szCs w:val="28"/>
                <w:lang w:val="en-US" w:eastAsia="zh-CN"/>
              </w:rPr>
              <w:t>GB/T 14272—2021</w:t>
            </w:r>
          </w:p>
        </w:tc>
      </w:tr>
      <w:tr w14:paraId="2C73CB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961" w:type="dxa"/>
            <w:tcBorders>
              <w:top w:val="single" w:color="auto" w:sz="4" w:space="0"/>
              <w:left w:val="single" w:color="auto" w:sz="4" w:space="0"/>
              <w:bottom w:val="single" w:color="auto" w:sz="4" w:space="0"/>
              <w:right w:val="single" w:color="auto" w:sz="4" w:space="0"/>
            </w:tcBorders>
            <w:shd w:val="clear" w:color="auto" w:fill="auto"/>
          </w:tcPr>
          <w:p w14:paraId="30978640">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lang w:eastAsia="zh-CN"/>
              </w:rPr>
            </w:pPr>
            <w:r>
              <w:rPr>
                <w:rFonts w:hint="eastAsia" w:ascii="Times New Roman" w:hAnsi="Times New Roman" w:eastAsia="仿宋_GB2312" w:cs="仿宋_GB2312"/>
                <w:color w:val="000000"/>
                <w:sz w:val="28"/>
                <w:szCs w:val="28"/>
                <w:highlight w:val="none"/>
              </w:rPr>
              <w:t>1</w:t>
            </w:r>
            <w:r>
              <w:rPr>
                <w:rFonts w:hint="eastAsia" w:eastAsia="仿宋_GB2312" w:cs="仿宋_GB2312"/>
                <w:color w:val="000000"/>
                <w:sz w:val="28"/>
                <w:szCs w:val="28"/>
                <w:highlight w:val="none"/>
                <w:lang w:val="en-US" w:eastAsia="zh-CN"/>
              </w:rPr>
              <w:t>3</w:t>
            </w:r>
          </w:p>
        </w:tc>
        <w:tc>
          <w:tcPr>
            <w:tcW w:w="4126" w:type="dxa"/>
            <w:tcBorders>
              <w:top w:val="single" w:color="auto" w:sz="4" w:space="0"/>
              <w:left w:val="single" w:color="auto" w:sz="4" w:space="0"/>
              <w:bottom w:val="single" w:color="auto" w:sz="4" w:space="0"/>
              <w:right w:val="single" w:color="auto" w:sz="4" w:space="0"/>
            </w:tcBorders>
            <w:shd w:val="clear" w:color="auto" w:fill="auto"/>
            <w:vAlign w:val="center"/>
          </w:tcPr>
          <w:p w14:paraId="47020829">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鸭毛（绒）含量</w:t>
            </w:r>
          </w:p>
        </w:tc>
        <w:tc>
          <w:tcPr>
            <w:tcW w:w="4087" w:type="dxa"/>
            <w:tcBorders>
              <w:top w:val="single" w:color="auto" w:sz="4" w:space="0"/>
              <w:left w:val="single" w:color="auto" w:sz="4" w:space="0"/>
              <w:bottom w:val="single" w:color="auto" w:sz="4" w:space="0"/>
              <w:right w:val="single" w:color="auto" w:sz="4" w:space="0"/>
            </w:tcBorders>
            <w:shd w:val="clear" w:color="auto" w:fill="auto"/>
            <w:vAlign w:val="center"/>
          </w:tcPr>
          <w:p w14:paraId="53A84108">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GB/T 14272—20</w:t>
            </w:r>
            <w:r>
              <w:rPr>
                <w:rFonts w:hint="eastAsia" w:eastAsia="仿宋_GB2312" w:cs="仿宋_GB2312"/>
                <w:color w:val="000000"/>
                <w:sz w:val="28"/>
                <w:szCs w:val="28"/>
                <w:highlight w:val="none"/>
                <w:lang w:val="en-US" w:eastAsia="zh-CN"/>
              </w:rPr>
              <w:t>1</w:t>
            </w:r>
            <w:r>
              <w:rPr>
                <w:rFonts w:hint="eastAsia" w:ascii="Times New Roman" w:hAnsi="Times New Roman" w:eastAsia="仿宋_GB2312" w:cs="仿宋_GB2312"/>
                <w:color w:val="000000"/>
                <w:sz w:val="28"/>
                <w:szCs w:val="28"/>
                <w:highlight w:val="none"/>
              </w:rPr>
              <w:t>1</w:t>
            </w:r>
          </w:p>
        </w:tc>
      </w:tr>
      <w:tr w14:paraId="6DE43B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961" w:type="dxa"/>
            <w:tcBorders>
              <w:top w:val="single" w:color="auto" w:sz="4" w:space="0"/>
              <w:left w:val="single" w:color="auto" w:sz="4" w:space="0"/>
              <w:bottom w:val="single" w:color="auto" w:sz="4" w:space="0"/>
              <w:right w:val="single" w:color="auto" w:sz="4" w:space="0"/>
            </w:tcBorders>
            <w:shd w:val="clear" w:color="auto" w:fill="auto"/>
          </w:tcPr>
          <w:p w14:paraId="2FD1A83B">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lang w:eastAsia="zh-CN"/>
              </w:rPr>
            </w:pPr>
            <w:r>
              <w:rPr>
                <w:rFonts w:hint="eastAsia" w:ascii="Times New Roman" w:hAnsi="Times New Roman" w:eastAsia="仿宋_GB2312" w:cs="仿宋_GB2312"/>
                <w:color w:val="000000"/>
                <w:sz w:val="28"/>
                <w:szCs w:val="28"/>
                <w:highlight w:val="none"/>
              </w:rPr>
              <w:t>1</w:t>
            </w:r>
            <w:r>
              <w:rPr>
                <w:rFonts w:hint="eastAsia" w:eastAsia="仿宋_GB2312" w:cs="仿宋_GB2312"/>
                <w:color w:val="000000"/>
                <w:sz w:val="28"/>
                <w:szCs w:val="28"/>
                <w:highlight w:val="none"/>
                <w:lang w:val="en-US" w:eastAsia="zh-CN"/>
              </w:rPr>
              <w:t>4</w:t>
            </w:r>
          </w:p>
        </w:tc>
        <w:tc>
          <w:tcPr>
            <w:tcW w:w="4126" w:type="dxa"/>
            <w:tcBorders>
              <w:top w:val="single" w:color="auto" w:sz="4" w:space="0"/>
              <w:left w:val="single" w:color="auto" w:sz="4" w:space="0"/>
              <w:bottom w:val="single" w:color="auto" w:sz="4" w:space="0"/>
              <w:right w:val="single" w:color="auto" w:sz="4" w:space="0"/>
            </w:tcBorders>
            <w:shd w:val="clear" w:color="auto" w:fill="auto"/>
            <w:vAlign w:val="center"/>
          </w:tcPr>
          <w:p w14:paraId="3AA5D7EB">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highlight w:val="none"/>
              </w:rPr>
              <w:t>鹅毛绒含量</w:t>
            </w:r>
          </w:p>
        </w:tc>
        <w:tc>
          <w:tcPr>
            <w:tcW w:w="4087" w:type="dxa"/>
            <w:tcBorders>
              <w:top w:val="single" w:color="auto" w:sz="4" w:space="0"/>
              <w:left w:val="single" w:color="auto" w:sz="4" w:space="0"/>
              <w:bottom w:val="single" w:color="auto" w:sz="4" w:space="0"/>
              <w:right w:val="single" w:color="auto" w:sz="4" w:space="0"/>
            </w:tcBorders>
            <w:shd w:val="clear" w:color="auto" w:fill="auto"/>
            <w:vAlign w:val="center"/>
          </w:tcPr>
          <w:p w14:paraId="4F3820A7">
            <w:pPr>
              <w:keepNext w:val="0"/>
              <w:keepLines w:val="0"/>
              <w:pageBreakBefore w:val="0"/>
              <w:widowControl w:val="0"/>
              <w:kinsoku/>
              <w:wordWrap/>
              <w:overflowPunct/>
              <w:topLinePunct w:val="0"/>
              <w:autoSpaceDE/>
              <w:autoSpaceDN/>
              <w:bidi w:val="0"/>
              <w:adjustRightInd/>
              <w:snapToGrid/>
              <w:spacing w:beforeAutospacing="0" w:afterAutospacing="0" w:line="490" w:lineRule="exact"/>
              <w:jc w:val="center"/>
              <w:textAlignment w:val="auto"/>
              <w:rPr>
                <w:rFonts w:hint="eastAsia" w:ascii="Times New Roman" w:hAnsi="Times New Roman" w:eastAsia="仿宋_GB2312" w:cs="仿宋_GB2312"/>
                <w:color w:val="000000"/>
                <w:sz w:val="28"/>
                <w:szCs w:val="28"/>
                <w:lang w:val="en-US" w:eastAsia="zh-CN"/>
              </w:rPr>
            </w:pPr>
            <w:r>
              <w:rPr>
                <w:rFonts w:hint="eastAsia" w:ascii="Times New Roman" w:hAnsi="Times New Roman" w:eastAsia="仿宋_GB2312" w:cs="仿宋_GB2312"/>
                <w:color w:val="000000"/>
                <w:sz w:val="28"/>
                <w:szCs w:val="28"/>
                <w:lang w:val="en-US" w:eastAsia="zh-CN"/>
              </w:rPr>
              <w:t>GB/T 10288—2016</w:t>
            </w:r>
          </w:p>
          <w:p w14:paraId="45F5030F">
            <w:pPr>
              <w:keepNext w:val="0"/>
              <w:keepLines w:val="0"/>
              <w:pageBreakBefore w:val="0"/>
              <w:widowControl w:val="0"/>
              <w:kinsoku/>
              <w:wordWrap/>
              <w:overflowPunct/>
              <w:topLinePunct w:val="0"/>
              <w:autoSpaceDE/>
              <w:autoSpaceDN/>
              <w:bidi w:val="0"/>
              <w:adjustRightInd/>
              <w:snapToGrid/>
              <w:spacing w:beforeAutospacing="0" w:afterAutospacing="0" w:line="560" w:lineRule="exact"/>
              <w:jc w:val="center"/>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仿宋_GB2312" w:cs="仿宋_GB2312"/>
                <w:color w:val="000000"/>
                <w:sz w:val="28"/>
                <w:szCs w:val="28"/>
                <w:lang w:val="en-US" w:eastAsia="zh-CN"/>
              </w:rPr>
              <w:t>GB/T 14272—2021</w:t>
            </w:r>
          </w:p>
        </w:tc>
      </w:tr>
      <w:tr w14:paraId="2D6713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rPr>
        <w:tc>
          <w:tcPr>
            <w:tcW w:w="9174" w:type="dxa"/>
            <w:gridSpan w:val="3"/>
            <w:tcBorders>
              <w:top w:val="single" w:color="auto" w:sz="4" w:space="0"/>
              <w:left w:val="single" w:color="auto" w:sz="4" w:space="0"/>
              <w:bottom w:val="single" w:color="auto" w:sz="4" w:space="0"/>
              <w:right w:val="single" w:color="auto" w:sz="4" w:space="0"/>
            </w:tcBorders>
            <w:shd w:val="clear" w:color="auto" w:fill="auto"/>
          </w:tcPr>
          <w:p w14:paraId="34664BC7">
            <w:pPr>
              <w:keepNext w:val="0"/>
              <w:keepLines w:val="0"/>
              <w:pageBreakBefore w:val="0"/>
              <w:widowControl w:val="0"/>
              <w:kinsoku/>
              <w:wordWrap/>
              <w:overflowPunct/>
              <w:topLinePunct w:val="0"/>
              <w:autoSpaceDE/>
              <w:autoSpaceDN/>
              <w:bidi w:val="0"/>
              <w:adjustRightInd/>
              <w:snapToGrid/>
              <w:spacing w:line="320" w:lineRule="exact"/>
              <w:jc w:val="left"/>
              <w:textAlignment w:val="auto"/>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备注：</w:t>
            </w:r>
          </w:p>
          <w:p w14:paraId="34DAF86E">
            <w:pPr>
              <w:keepNext w:val="0"/>
              <w:keepLines w:val="0"/>
              <w:pageBreakBefore w:val="0"/>
              <w:widowControl w:val="0"/>
              <w:kinsoku/>
              <w:wordWrap/>
              <w:overflowPunct/>
              <w:topLinePunct w:val="0"/>
              <w:autoSpaceDE/>
              <w:autoSpaceDN/>
              <w:bidi w:val="0"/>
              <w:adjustRightInd/>
              <w:snapToGrid/>
              <w:spacing w:line="320" w:lineRule="exact"/>
              <w:jc w:val="left"/>
              <w:textAlignment w:val="auto"/>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1.产品使用说明标注的纤维含量不一致时，应以耐久标签标注的纤维含量进行考核。如果未标注产品主要原材料的纤维成分和含量，则纤维含量项目不判定。</w:t>
            </w:r>
            <w:r>
              <w:rPr>
                <w:rFonts w:hint="eastAsia" w:ascii="Times New Roman" w:hAnsi="Times New Roman" w:eastAsia="宋体" w:cs="Times New Roman"/>
                <w:sz w:val="24"/>
                <w:szCs w:val="24"/>
                <w:lang w:val="en-US" w:eastAsia="zh-CN"/>
              </w:rPr>
              <w:t>对于加工产品纤维含量项目不做判定。</w:t>
            </w:r>
          </w:p>
          <w:p w14:paraId="199EEED0">
            <w:pPr>
              <w:keepNext w:val="0"/>
              <w:keepLines w:val="0"/>
              <w:pageBreakBefore w:val="0"/>
              <w:widowControl w:val="0"/>
              <w:kinsoku/>
              <w:wordWrap/>
              <w:overflowPunct/>
              <w:topLinePunct w:val="0"/>
              <w:autoSpaceDE/>
              <w:autoSpaceDN/>
              <w:bidi w:val="0"/>
              <w:adjustRightInd/>
              <w:snapToGrid/>
              <w:spacing w:line="320" w:lineRule="exact"/>
              <w:jc w:val="left"/>
              <w:textAlignment w:val="auto"/>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2.考虑到样品存在的不均匀性和检验的可靠性，样品中检测出微量其他纤维（未明示）时，如果其他纤维（未明示）的含量≤0.5%，或样品明示含微量其他纤维而未检出时，该微量其他纤维不计入总量进行判定。</w:t>
            </w:r>
          </w:p>
          <w:p w14:paraId="1351A009">
            <w:pPr>
              <w:keepNext w:val="0"/>
              <w:keepLines w:val="0"/>
              <w:pageBreakBefore w:val="0"/>
              <w:widowControl w:val="0"/>
              <w:kinsoku/>
              <w:wordWrap/>
              <w:overflowPunct/>
              <w:topLinePunct w:val="0"/>
              <w:autoSpaceDE/>
              <w:autoSpaceDN/>
              <w:bidi w:val="0"/>
              <w:adjustRightInd/>
              <w:snapToGrid/>
              <w:spacing w:line="320" w:lineRule="exact"/>
              <w:jc w:val="left"/>
              <w:textAlignment w:val="auto"/>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3.色牢度试验采用单纤维贴衬，产品标准另有规定的，按产品标准执行。</w:t>
            </w:r>
          </w:p>
          <w:p w14:paraId="4C3A0C11">
            <w:pPr>
              <w:keepNext w:val="0"/>
              <w:keepLines w:val="0"/>
              <w:pageBreakBefore w:val="0"/>
              <w:widowControl w:val="0"/>
              <w:kinsoku/>
              <w:wordWrap/>
              <w:overflowPunct/>
              <w:topLinePunct w:val="0"/>
              <w:autoSpaceDE/>
              <w:autoSpaceDN/>
              <w:bidi w:val="0"/>
              <w:adjustRightInd/>
              <w:snapToGrid/>
              <w:spacing w:line="320" w:lineRule="exact"/>
              <w:jc w:val="left"/>
              <w:textAlignment w:val="auto"/>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4.针织产品耐摩擦色牢度只考核直向。</w:t>
            </w:r>
          </w:p>
          <w:p w14:paraId="1D5C3DD1">
            <w:pPr>
              <w:keepNext w:val="0"/>
              <w:keepLines w:val="0"/>
              <w:pageBreakBefore w:val="0"/>
              <w:widowControl w:val="0"/>
              <w:kinsoku/>
              <w:wordWrap/>
              <w:overflowPunct/>
              <w:topLinePunct w:val="0"/>
              <w:autoSpaceDE/>
              <w:autoSpaceDN/>
              <w:bidi w:val="0"/>
              <w:adjustRightInd/>
              <w:snapToGrid/>
              <w:spacing w:line="320" w:lineRule="exact"/>
              <w:jc w:val="left"/>
              <w:textAlignment w:val="auto"/>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5.产品未标注产品标准，标注产品标准不正确，或者无法获得明示的有效企业标准时，检测纤维含量以及GB 18401相关项目。</w:t>
            </w:r>
          </w:p>
          <w:p w14:paraId="5180C17E">
            <w:pPr>
              <w:keepNext w:val="0"/>
              <w:keepLines w:val="0"/>
              <w:pageBreakBefore w:val="0"/>
              <w:widowControl w:val="0"/>
              <w:kinsoku/>
              <w:wordWrap/>
              <w:overflowPunct/>
              <w:topLinePunct w:val="0"/>
              <w:autoSpaceDE/>
              <w:autoSpaceDN/>
              <w:bidi w:val="0"/>
              <w:adjustRightInd/>
              <w:snapToGrid/>
              <w:spacing w:line="320" w:lineRule="exact"/>
              <w:jc w:val="left"/>
              <w:textAlignment w:val="auto"/>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6.pH值的测定用0.1 mol/L 氯化钾溶液作为萃取介质。</w:t>
            </w:r>
          </w:p>
          <w:p w14:paraId="182FB250">
            <w:pPr>
              <w:keepNext w:val="0"/>
              <w:keepLines w:val="0"/>
              <w:pageBreakBefore w:val="0"/>
              <w:widowControl w:val="0"/>
              <w:kinsoku/>
              <w:wordWrap/>
              <w:overflowPunct/>
              <w:topLinePunct w:val="0"/>
              <w:autoSpaceDE/>
              <w:autoSpaceDN/>
              <w:bidi w:val="0"/>
              <w:adjustRightInd/>
              <w:snapToGrid/>
              <w:spacing w:line="320" w:lineRule="exact"/>
              <w:jc w:val="left"/>
              <w:textAlignment w:val="auto"/>
              <w:rPr>
                <w:rFonts w:hint="eastAsia" w:ascii="Times New Roman" w:hAnsi="Times New Roman" w:eastAsia="仿宋_GB2312" w:cs="仿宋_GB2312"/>
                <w:color w:val="000000"/>
                <w:sz w:val="28"/>
                <w:szCs w:val="28"/>
                <w:highlight w:val="none"/>
              </w:rPr>
            </w:pPr>
            <w:r>
              <w:rPr>
                <w:rFonts w:hint="eastAsia" w:ascii="Times New Roman" w:hAnsi="Times New Roman" w:eastAsia="宋体" w:cs="Times New Roman"/>
                <w:sz w:val="24"/>
                <w:szCs w:val="24"/>
              </w:rPr>
              <w:t>7.只检测产品相应标准中有考核要求的项目。</w:t>
            </w:r>
          </w:p>
        </w:tc>
      </w:tr>
    </w:tbl>
    <w:p w14:paraId="4DFDE07C">
      <w:pPr>
        <w:keepNext w:val="0"/>
        <w:keepLines w:val="0"/>
        <w:pageBreakBefore w:val="0"/>
        <w:kinsoku/>
        <w:wordWrap/>
        <w:overflowPunct/>
        <w:topLinePunct w:val="0"/>
        <w:autoSpaceDN/>
        <w:bidi w:val="0"/>
        <w:adjustRightInd/>
        <w:snapToGrid w:val="0"/>
        <w:spacing w:line="560" w:lineRule="exact"/>
        <w:ind w:firstLine="547" w:firstLineChars="171"/>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执行企业标准、团体标准、地方标准的产品，检验项目参照上述内容执行。</w:t>
      </w:r>
    </w:p>
    <w:p w14:paraId="56FAB3B7">
      <w:pPr>
        <w:keepNext w:val="0"/>
        <w:keepLines w:val="0"/>
        <w:pageBreakBefore w:val="0"/>
        <w:kinsoku/>
        <w:wordWrap/>
        <w:overflowPunct/>
        <w:topLinePunct w:val="0"/>
        <w:autoSpaceDN/>
        <w:bidi w:val="0"/>
        <w:adjustRightInd/>
        <w:snapToGrid w:val="0"/>
        <w:spacing w:line="560" w:lineRule="exact"/>
        <w:ind w:firstLine="547" w:firstLineChars="171"/>
        <w:textAlignment w:val="auto"/>
        <w:rPr>
          <w:rFonts w:hint="eastAsia" w:ascii="仿宋_GB2312" w:hAnsi="仿宋_GB2312" w:eastAsia="仿宋_GB2312" w:cs="仿宋_GB2312"/>
          <w:sz w:val="32"/>
          <w:szCs w:val="32"/>
        </w:rPr>
      </w:pPr>
      <w:r>
        <w:rPr>
          <w:rFonts w:hint="default" w:ascii="Times New Roman" w:hAnsi="Times New Roman" w:eastAsia="仿宋_GB2312" w:cs="Times New Roman"/>
          <w:color w:val="auto"/>
          <w:sz w:val="32"/>
          <w:szCs w:val="32"/>
          <w:highlight w:val="none"/>
        </w:rPr>
        <w:t>凡是注日期的文件，其随后所有的修改单（不包括勘误的内容）或修订版不适用于本细则。凡是不注日期的文件，其最新版本适用于本细则。</w:t>
      </w:r>
    </w:p>
    <w:p w14:paraId="387CA0B0">
      <w:pPr>
        <w:keepNext w:val="0"/>
        <w:keepLines w:val="0"/>
        <w:pageBreakBefore w:val="0"/>
        <w:kinsoku/>
        <w:wordWrap/>
        <w:overflowPunct/>
        <w:topLinePunct w:val="0"/>
        <w:autoSpaceDN/>
        <w:bidi w:val="0"/>
        <w:adjustRightInd/>
        <w:spacing w:line="560" w:lineRule="exact"/>
        <w:ind w:firstLine="640" w:firstLineChars="200"/>
        <w:textAlignment w:val="auto"/>
        <w:rPr>
          <w:rFonts w:hint="eastAsia" w:ascii="黑体" w:hAnsi="黑体" w:eastAsia="黑体" w:cs="黑体"/>
          <w:sz w:val="32"/>
          <w:szCs w:val="32"/>
        </w:rPr>
      </w:pPr>
      <w:r>
        <w:rPr>
          <w:rFonts w:hint="eastAsia" w:ascii="黑体" w:hAnsi="黑体" w:eastAsia="黑体" w:cs="黑体"/>
          <w:sz w:val="32"/>
          <w:szCs w:val="32"/>
        </w:rPr>
        <w:t>3 判定规则</w:t>
      </w:r>
    </w:p>
    <w:p w14:paraId="1A259759">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3.1依据标准</w:t>
      </w:r>
    </w:p>
    <w:p w14:paraId="23DB1330">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GB 18401—2010 国家纺织产品基本安全技术规范</w:t>
      </w:r>
    </w:p>
    <w:p w14:paraId="13EA70EE">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GB/T 14272—2011 羽绒服装</w:t>
      </w:r>
    </w:p>
    <w:p w14:paraId="7A5B32DC">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GB/T 14272—2021 羽绒服装</w:t>
      </w:r>
    </w:p>
    <w:p w14:paraId="17BB2606">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GB/T 29862—2013 纺织品 纤维含量的标识</w:t>
      </w:r>
    </w:p>
    <w:p w14:paraId="437C22AB">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textAlignment w:val="auto"/>
        <w:rPr>
          <w:rFonts w:hint="eastAsia" w:ascii="Times New Roman" w:hAnsi="Times New Roman" w:eastAsia="仿宋_GB2312" w:cs="仿宋_GB2312"/>
          <w:sz w:val="32"/>
          <w:szCs w:val="40"/>
          <w:highlight w:val="none"/>
        </w:rPr>
      </w:pPr>
      <w:r>
        <w:rPr>
          <w:rFonts w:hint="eastAsia" w:ascii="Times New Roman" w:hAnsi="Times New Roman" w:eastAsia="仿宋_GB2312" w:cs="仿宋_GB2312"/>
          <w:sz w:val="32"/>
          <w:szCs w:val="40"/>
          <w:highlight w:val="none"/>
        </w:rPr>
        <w:t>FZ/T 73053—2015 针织羽绒服装</w:t>
      </w:r>
    </w:p>
    <w:p w14:paraId="05EFC094">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现行有效的企业标准、团体标准、地方标准及产品明示质量要求</w:t>
      </w:r>
    </w:p>
    <w:p w14:paraId="01FDA23F">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3.2判定原则</w:t>
      </w:r>
    </w:p>
    <w:p w14:paraId="05624E90">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经检验，检验项目全部合格，判定为被抽查产品所检项目未发现不合格；检验项目中任一项或一项以上不合格，判定为被抽查产品不合格。</w:t>
      </w:r>
    </w:p>
    <w:p w14:paraId="32A8D64A">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若被检产品明示的质量要求高于本细则中检验项目依据的标准要求时，应按被检产品明示的质量要求判定。</w:t>
      </w:r>
    </w:p>
    <w:p w14:paraId="73DEB53A">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若被检产品明示的质量要求低于本细则中检验项目依据的强制性标准要求时，应按照强制性标准要求判定。</w:t>
      </w:r>
    </w:p>
    <w:p w14:paraId="22B89593">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若被检产品明示的质量要求低于或包含本细则中检验项目依据的推荐性标准要求时，应以被检产品明示的质量要求判定。</w:t>
      </w:r>
    </w:p>
    <w:p w14:paraId="1A1397C9">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若被检产品明示的质量要求缺少本细则中检验项目依据的强制性标准要求时，应按照强制性标准要求判定。</w:t>
      </w:r>
    </w:p>
    <w:p w14:paraId="67AD5D37">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default"/>
          <w:lang w:val="en-US" w:eastAsia="zh-CN"/>
        </w:rPr>
      </w:pPr>
      <w:r>
        <w:rPr>
          <w:rFonts w:hint="eastAsia" w:ascii="仿宋_GB2312" w:hAnsi="仿宋_GB2312" w:eastAsia="仿宋_GB2312" w:cs="仿宋_GB2312"/>
          <w:sz w:val="32"/>
          <w:szCs w:val="32"/>
        </w:rPr>
        <w:t>若被检产品明示的质量要求缺少本细则中检验项目依据的推荐性标准要求时，该项目不参与判定。</w:t>
      </w:r>
      <w:bookmarkStart w:id="0" w:name="_GoBack"/>
      <w:bookmarkEnd w:id="0"/>
    </w:p>
    <w:sectPr>
      <w:headerReference r:id="rId3" w:type="default"/>
      <w:footerReference r:id="rId4" w:type="default"/>
      <w:pgSz w:w="11907" w:h="16840"/>
      <w:pgMar w:top="1701" w:right="1418" w:bottom="1701" w:left="1418" w:header="567" w:footer="567"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CF49E465-C897-4ED6-BBD3-1302230F9CD4}"/>
  </w:font>
  <w:font w:name="Arial">
    <w:panose1 w:val="020B0604020202020204"/>
    <w:charset w:val="01"/>
    <w:family w:val="swiss"/>
    <w:pitch w:val="default"/>
    <w:sig w:usb0="E0002EFF" w:usb1="C000785B" w:usb2="00000009" w:usb3="00000000" w:csb0="400001FF" w:csb1="FFFF0000"/>
    <w:embedRegular r:id="rId2" w:fontKey="{8B05D7E5-6DAA-42DE-8F2E-7631A3B2727C}"/>
  </w:font>
  <w:font w:name="黑体">
    <w:panose1 w:val="02010609060101010101"/>
    <w:charset w:val="86"/>
    <w:family w:val="auto"/>
    <w:pitch w:val="default"/>
    <w:sig w:usb0="800002BF" w:usb1="38CF7CFA" w:usb2="00000016" w:usb3="00000000" w:csb0="00040001" w:csb1="00000000"/>
    <w:embedRegular r:id="rId3" w:fontKey="{075A1B6D-D074-48D3-AE4C-57D6F5553E1B}"/>
  </w:font>
  <w:font w:name="Courier New">
    <w:panose1 w:val="02070309020205020404"/>
    <w:charset w:val="01"/>
    <w:family w:val="modern"/>
    <w:pitch w:val="default"/>
    <w:sig w:usb0="E0002EFF" w:usb1="C0007843" w:usb2="00000009" w:usb3="00000000" w:csb0="400001FF" w:csb1="FFFF0000"/>
    <w:embedRegular r:id="rId4" w:fontKey="{E6B698CF-4634-4EF6-A895-5DDF092F5CA3}"/>
  </w:font>
  <w:font w:name="Symbol">
    <w:panose1 w:val="05050102010706020507"/>
    <w:charset w:val="02"/>
    <w:family w:val="roman"/>
    <w:pitch w:val="default"/>
    <w:sig w:usb0="00000000" w:usb1="00000000" w:usb2="00000000" w:usb3="00000000" w:csb0="80000000" w:csb1="00000000"/>
    <w:embedRegular r:id="rId5" w:fontKey="{C39D846D-A0FB-4AD3-9A09-0C72AD6838D8}"/>
  </w:font>
  <w:font w:name="Calibri">
    <w:panose1 w:val="020F0502020204030204"/>
    <w:charset w:val="00"/>
    <w:family w:val="swiss"/>
    <w:pitch w:val="default"/>
    <w:sig w:usb0="E4002EFF" w:usb1="C200247B" w:usb2="00000009" w:usb3="00000000" w:csb0="200001FF" w:csb1="00000000"/>
    <w:embedRegular r:id="rId6" w:fontKey="{0AAC56C1-BC3F-439B-949B-3FEE21377CED}"/>
  </w:font>
  <w:font w:name="仿宋_GB2312">
    <w:panose1 w:val="02010609030101010101"/>
    <w:charset w:val="86"/>
    <w:family w:val="modern"/>
    <w:pitch w:val="default"/>
    <w:sig w:usb0="00000001" w:usb1="080E0000" w:usb2="00000000" w:usb3="00000000" w:csb0="00040000" w:csb1="00000000"/>
    <w:embedRegular r:id="rId7" w:fontKey="{ECE6B0D9-61A7-4B56-80AC-ED3955903AA9}"/>
  </w:font>
  <w:font w:name="方正小标宋简体">
    <w:panose1 w:val="02010601030101010101"/>
    <w:charset w:val="86"/>
    <w:family w:val="auto"/>
    <w:pitch w:val="default"/>
    <w:sig w:usb0="00000001" w:usb1="080E0000" w:usb2="00000000" w:usb3="00000000" w:csb0="00040000" w:csb1="00000000"/>
  </w:font>
  <w:font w:name="楷体_GB2312">
    <w:panose1 w:val="02010609030101010101"/>
    <w:charset w:val="86"/>
    <w:family w:val="modern"/>
    <w:pitch w:val="default"/>
    <w:sig w:usb0="00000001" w:usb1="080E0000" w:usb2="00000000" w:usb3="00000000" w:csb0="00040000" w:csb1="00000000"/>
    <w:embedRegular r:id="rId8" w:fontKey="{752CC39B-E0B2-4D3E-B168-DD40377FDFE7}"/>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D1CEBD0">
    <w:pPr>
      <w:adjustRightInd/>
      <w:snapToGrid w:val="0"/>
      <w:spacing w:before="120" w:beforeLines="50" w:line="240" w:lineRule="auto"/>
      <w:textAlignment w:val="auto"/>
      <w:rPr>
        <w:rFonts w:hint="eastAsia" w:ascii="宋体" w:hAnsi="宋体"/>
        <w:kern w:val="2"/>
        <w:sz w:val="18"/>
        <w:szCs w:val="18"/>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1FFDC9">
    <w:pPr>
      <w:pStyle w:val="8"/>
      <w:pBdr>
        <w:bottom w:val="none" w:color="auto" w:sz="0" w:space="0"/>
      </w:pBdr>
      <w:rPr>
        <w:rFonts w:hint="eastAsia"/>
        <w:b/>
        <w:sz w:val="28"/>
        <w:szCs w:val="28"/>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embedTrueType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HorizontalSpacing w:val="105"/>
  <w:drawingGridVerticalSpacing w:val="156"/>
  <w:displayHorizontalDrawingGridEvery w:val="0"/>
  <w:displayVerticalDrawingGridEvery w:val="2"/>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k3M2U0ZDQ4YzMyZDhlMTI3OWMwYjE2N2QwMmUxMGEifQ=="/>
  </w:docVars>
  <w:rsids>
    <w:rsidRoot w:val="00172A27"/>
    <w:rsid w:val="000020BE"/>
    <w:rsid w:val="00002EA4"/>
    <w:rsid w:val="00026AB7"/>
    <w:rsid w:val="000321D9"/>
    <w:rsid w:val="00033C44"/>
    <w:rsid w:val="000351A4"/>
    <w:rsid w:val="00051A44"/>
    <w:rsid w:val="00054CA3"/>
    <w:rsid w:val="000565BF"/>
    <w:rsid w:val="00062195"/>
    <w:rsid w:val="0006305F"/>
    <w:rsid w:val="0006480C"/>
    <w:rsid w:val="00080B0F"/>
    <w:rsid w:val="00081CBD"/>
    <w:rsid w:val="00091170"/>
    <w:rsid w:val="00094FDF"/>
    <w:rsid w:val="000976DE"/>
    <w:rsid w:val="000B20DE"/>
    <w:rsid w:val="000C23F9"/>
    <w:rsid w:val="000C638E"/>
    <w:rsid w:val="000C6F9E"/>
    <w:rsid w:val="000F086E"/>
    <w:rsid w:val="000F50E2"/>
    <w:rsid w:val="00100E39"/>
    <w:rsid w:val="00121AE9"/>
    <w:rsid w:val="00137B98"/>
    <w:rsid w:val="00145FAF"/>
    <w:rsid w:val="00173AB6"/>
    <w:rsid w:val="001809DD"/>
    <w:rsid w:val="00182D02"/>
    <w:rsid w:val="001833D2"/>
    <w:rsid w:val="001843EC"/>
    <w:rsid w:val="001B39AB"/>
    <w:rsid w:val="001D0A41"/>
    <w:rsid w:val="00200008"/>
    <w:rsid w:val="00201BD3"/>
    <w:rsid w:val="002044CB"/>
    <w:rsid w:val="00213B1C"/>
    <w:rsid w:val="00232530"/>
    <w:rsid w:val="00244B61"/>
    <w:rsid w:val="00253624"/>
    <w:rsid w:val="00255A9C"/>
    <w:rsid w:val="0026017A"/>
    <w:rsid w:val="00276DAA"/>
    <w:rsid w:val="002A4261"/>
    <w:rsid w:val="002A5C25"/>
    <w:rsid w:val="002D5352"/>
    <w:rsid w:val="002D728A"/>
    <w:rsid w:val="002D7F8A"/>
    <w:rsid w:val="002E0D1D"/>
    <w:rsid w:val="003203A3"/>
    <w:rsid w:val="00331031"/>
    <w:rsid w:val="00342408"/>
    <w:rsid w:val="00352195"/>
    <w:rsid w:val="003562B2"/>
    <w:rsid w:val="00356736"/>
    <w:rsid w:val="00364A7D"/>
    <w:rsid w:val="00365CBE"/>
    <w:rsid w:val="003778E3"/>
    <w:rsid w:val="003932F4"/>
    <w:rsid w:val="00393F38"/>
    <w:rsid w:val="003A7133"/>
    <w:rsid w:val="003A7D30"/>
    <w:rsid w:val="003B056F"/>
    <w:rsid w:val="003B39FC"/>
    <w:rsid w:val="003C08EC"/>
    <w:rsid w:val="003C388C"/>
    <w:rsid w:val="003C7852"/>
    <w:rsid w:val="003D09A1"/>
    <w:rsid w:val="003E61BF"/>
    <w:rsid w:val="00405EC3"/>
    <w:rsid w:val="00405FF0"/>
    <w:rsid w:val="00410404"/>
    <w:rsid w:val="004104AC"/>
    <w:rsid w:val="00440A6B"/>
    <w:rsid w:val="00445E86"/>
    <w:rsid w:val="00456FC7"/>
    <w:rsid w:val="00474E04"/>
    <w:rsid w:val="004763D3"/>
    <w:rsid w:val="00494AA7"/>
    <w:rsid w:val="00496838"/>
    <w:rsid w:val="004C1A2A"/>
    <w:rsid w:val="004C2AC0"/>
    <w:rsid w:val="004D0C5A"/>
    <w:rsid w:val="004D184C"/>
    <w:rsid w:val="004D1A13"/>
    <w:rsid w:val="004E1396"/>
    <w:rsid w:val="004E4EA0"/>
    <w:rsid w:val="00512252"/>
    <w:rsid w:val="00545D75"/>
    <w:rsid w:val="00556726"/>
    <w:rsid w:val="00562335"/>
    <w:rsid w:val="00563EBC"/>
    <w:rsid w:val="00566937"/>
    <w:rsid w:val="00575ED0"/>
    <w:rsid w:val="00576FA4"/>
    <w:rsid w:val="005853E4"/>
    <w:rsid w:val="0058549D"/>
    <w:rsid w:val="00594B67"/>
    <w:rsid w:val="005B4095"/>
    <w:rsid w:val="005C3F57"/>
    <w:rsid w:val="005E5B21"/>
    <w:rsid w:val="005F53B8"/>
    <w:rsid w:val="00600B21"/>
    <w:rsid w:val="006011E8"/>
    <w:rsid w:val="00603630"/>
    <w:rsid w:val="006158A6"/>
    <w:rsid w:val="0062283B"/>
    <w:rsid w:val="006230A3"/>
    <w:rsid w:val="0062741F"/>
    <w:rsid w:val="00631525"/>
    <w:rsid w:val="00634F7B"/>
    <w:rsid w:val="006429DB"/>
    <w:rsid w:val="00671E42"/>
    <w:rsid w:val="006A5A14"/>
    <w:rsid w:val="006B2446"/>
    <w:rsid w:val="006B6A5F"/>
    <w:rsid w:val="006C7AA1"/>
    <w:rsid w:val="006D027E"/>
    <w:rsid w:val="006D35EF"/>
    <w:rsid w:val="006D72B9"/>
    <w:rsid w:val="006E1171"/>
    <w:rsid w:val="006F0971"/>
    <w:rsid w:val="006F3737"/>
    <w:rsid w:val="006F475E"/>
    <w:rsid w:val="00704110"/>
    <w:rsid w:val="00706A62"/>
    <w:rsid w:val="00711794"/>
    <w:rsid w:val="00722C59"/>
    <w:rsid w:val="00722E33"/>
    <w:rsid w:val="0072334C"/>
    <w:rsid w:val="00724899"/>
    <w:rsid w:val="007279BA"/>
    <w:rsid w:val="00731D9D"/>
    <w:rsid w:val="007343AF"/>
    <w:rsid w:val="00746A2D"/>
    <w:rsid w:val="007A2E48"/>
    <w:rsid w:val="007B29CC"/>
    <w:rsid w:val="007E0757"/>
    <w:rsid w:val="00812799"/>
    <w:rsid w:val="008137E9"/>
    <w:rsid w:val="00821EED"/>
    <w:rsid w:val="008522D1"/>
    <w:rsid w:val="00875C52"/>
    <w:rsid w:val="0089206E"/>
    <w:rsid w:val="00895BEA"/>
    <w:rsid w:val="008A3497"/>
    <w:rsid w:val="008B5D1D"/>
    <w:rsid w:val="008D36B1"/>
    <w:rsid w:val="008F582D"/>
    <w:rsid w:val="00907E27"/>
    <w:rsid w:val="00915A65"/>
    <w:rsid w:val="00917A54"/>
    <w:rsid w:val="00944EB9"/>
    <w:rsid w:val="00953E64"/>
    <w:rsid w:val="00956B78"/>
    <w:rsid w:val="00957BF8"/>
    <w:rsid w:val="00971DC3"/>
    <w:rsid w:val="009C2943"/>
    <w:rsid w:val="009D062D"/>
    <w:rsid w:val="009D2D88"/>
    <w:rsid w:val="009F24EF"/>
    <w:rsid w:val="009F50B6"/>
    <w:rsid w:val="00A00FD8"/>
    <w:rsid w:val="00A101CE"/>
    <w:rsid w:val="00A154F7"/>
    <w:rsid w:val="00A25C7E"/>
    <w:rsid w:val="00A43553"/>
    <w:rsid w:val="00A67F0D"/>
    <w:rsid w:val="00A71375"/>
    <w:rsid w:val="00A8267E"/>
    <w:rsid w:val="00A9383D"/>
    <w:rsid w:val="00A97488"/>
    <w:rsid w:val="00AC3CD3"/>
    <w:rsid w:val="00AC5391"/>
    <w:rsid w:val="00AD0012"/>
    <w:rsid w:val="00AD2C1C"/>
    <w:rsid w:val="00AE7FD1"/>
    <w:rsid w:val="00B047D1"/>
    <w:rsid w:val="00B23FC4"/>
    <w:rsid w:val="00B41B40"/>
    <w:rsid w:val="00B41BC0"/>
    <w:rsid w:val="00B44539"/>
    <w:rsid w:val="00B60639"/>
    <w:rsid w:val="00B745B2"/>
    <w:rsid w:val="00B85892"/>
    <w:rsid w:val="00B91E8D"/>
    <w:rsid w:val="00BA0992"/>
    <w:rsid w:val="00BB05E6"/>
    <w:rsid w:val="00BC3D40"/>
    <w:rsid w:val="00BE56DF"/>
    <w:rsid w:val="00BF0269"/>
    <w:rsid w:val="00BF2B8C"/>
    <w:rsid w:val="00C0517A"/>
    <w:rsid w:val="00C26074"/>
    <w:rsid w:val="00C26739"/>
    <w:rsid w:val="00C26EB8"/>
    <w:rsid w:val="00C340C7"/>
    <w:rsid w:val="00C43126"/>
    <w:rsid w:val="00C5048A"/>
    <w:rsid w:val="00C745B3"/>
    <w:rsid w:val="00C83B0A"/>
    <w:rsid w:val="00CB1E77"/>
    <w:rsid w:val="00CE0967"/>
    <w:rsid w:val="00CE1E0C"/>
    <w:rsid w:val="00CE277E"/>
    <w:rsid w:val="00CE5168"/>
    <w:rsid w:val="00D46923"/>
    <w:rsid w:val="00D536E3"/>
    <w:rsid w:val="00D56867"/>
    <w:rsid w:val="00D93108"/>
    <w:rsid w:val="00DB7867"/>
    <w:rsid w:val="00DC1235"/>
    <w:rsid w:val="00DC1F3F"/>
    <w:rsid w:val="00DC7EA2"/>
    <w:rsid w:val="00DF0117"/>
    <w:rsid w:val="00DF0CBF"/>
    <w:rsid w:val="00DF52A9"/>
    <w:rsid w:val="00E02A7F"/>
    <w:rsid w:val="00E07505"/>
    <w:rsid w:val="00E07880"/>
    <w:rsid w:val="00E13B3B"/>
    <w:rsid w:val="00E22F67"/>
    <w:rsid w:val="00E30AFF"/>
    <w:rsid w:val="00E33EDB"/>
    <w:rsid w:val="00E357AF"/>
    <w:rsid w:val="00E644B1"/>
    <w:rsid w:val="00E67161"/>
    <w:rsid w:val="00E7086B"/>
    <w:rsid w:val="00E82621"/>
    <w:rsid w:val="00E86ABD"/>
    <w:rsid w:val="00E9490D"/>
    <w:rsid w:val="00EB3587"/>
    <w:rsid w:val="00ED4402"/>
    <w:rsid w:val="00F13D01"/>
    <w:rsid w:val="00F30146"/>
    <w:rsid w:val="00F322B2"/>
    <w:rsid w:val="00F65A60"/>
    <w:rsid w:val="00F65F37"/>
    <w:rsid w:val="00F7607C"/>
    <w:rsid w:val="00F77C9A"/>
    <w:rsid w:val="00F80BE5"/>
    <w:rsid w:val="00FA71FC"/>
    <w:rsid w:val="00FA7BE3"/>
    <w:rsid w:val="00FB0D74"/>
    <w:rsid w:val="00FB4F65"/>
    <w:rsid w:val="00FB576C"/>
    <w:rsid w:val="00FD2AA6"/>
    <w:rsid w:val="00FE7E8A"/>
    <w:rsid w:val="00FF5DB5"/>
    <w:rsid w:val="01F13434"/>
    <w:rsid w:val="025B3C7B"/>
    <w:rsid w:val="02B074AC"/>
    <w:rsid w:val="048E56D2"/>
    <w:rsid w:val="04C335CE"/>
    <w:rsid w:val="05113B25"/>
    <w:rsid w:val="05342D0B"/>
    <w:rsid w:val="05616943"/>
    <w:rsid w:val="073763B8"/>
    <w:rsid w:val="07391925"/>
    <w:rsid w:val="0A41763A"/>
    <w:rsid w:val="0A5D1DCF"/>
    <w:rsid w:val="0A6B3D13"/>
    <w:rsid w:val="0B0C6DFF"/>
    <w:rsid w:val="0B1526A9"/>
    <w:rsid w:val="0B4B60CB"/>
    <w:rsid w:val="0DF742E8"/>
    <w:rsid w:val="0E306947"/>
    <w:rsid w:val="0E770F85"/>
    <w:rsid w:val="0F882908"/>
    <w:rsid w:val="0FEB39D9"/>
    <w:rsid w:val="11B37150"/>
    <w:rsid w:val="122431D2"/>
    <w:rsid w:val="128A5CDC"/>
    <w:rsid w:val="139C5FA3"/>
    <w:rsid w:val="152E36CE"/>
    <w:rsid w:val="15634011"/>
    <w:rsid w:val="16075995"/>
    <w:rsid w:val="163F05DA"/>
    <w:rsid w:val="165D6CB3"/>
    <w:rsid w:val="16FC296F"/>
    <w:rsid w:val="1711641B"/>
    <w:rsid w:val="172123D6"/>
    <w:rsid w:val="1783099B"/>
    <w:rsid w:val="184A784C"/>
    <w:rsid w:val="19690607"/>
    <w:rsid w:val="196D545F"/>
    <w:rsid w:val="19772DE4"/>
    <w:rsid w:val="19DF45AE"/>
    <w:rsid w:val="1A3A17E5"/>
    <w:rsid w:val="1B763F45"/>
    <w:rsid w:val="1BDD4B1E"/>
    <w:rsid w:val="1C2D5FD2"/>
    <w:rsid w:val="1D281406"/>
    <w:rsid w:val="1E605CFE"/>
    <w:rsid w:val="1EE771CB"/>
    <w:rsid w:val="204C04C4"/>
    <w:rsid w:val="210112AE"/>
    <w:rsid w:val="22010E3A"/>
    <w:rsid w:val="22DD7731"/>
    <w:rsid w:val="23757D3B"/>
    <w:rsid w:val="245C4A4D"/>
    <w:rsid w:val="25704604"/>
    <w:rsid w:val="26002AE2"/>
    <w:rsid w:val="265E3C10"/>
    <w:rsid w:val="2681079B"/>
    <w:rsid w:val="26962499"/>
    <w:rsid w:val="28257C1A"/>
    <w:rsid w:val="285D48A0"/>
    <w:rsid w:val="287560DE"/>
    <w:rsid w:val="28857ADB"/>
    <w:rsid w:val="28ED58D1"/>
    <w:rsid w:val="28FC235B"/>
    <w:rsid w:val="299C5651"/>
    <w:rsid w:val="29FF7627"/>
    <w:rsid w:val="2A8F1D25"/>
    <w:rsid w:val="2B111EB7"/>
    <w:rsid w:val="2B6F361E"/>
    <w:rsid w:val="2F2F348A"/>
    <w:rsid w:val="2FD7142C"/>
    <w:rsid w:val="3027782D"/>
    <w:rsid w:val="30357A05"/>
    <w:rsid w:val="30B92302"/>
    <w:rsid w:val="30BA6D84"/>
    <w:rsid w:val="31DE6AA2"/>
    <w:rsid w:val="32AA2E28"/>
    <w:rsid w:val="33582884"/>
    <w:rsid w:val="34353C35"/>
    <w:rsid w:val="355754E9"/>
    <w:rsid w:val="35643762"/>
    <w:rsid w:val="35D03732"/>
    <w:rsid w:val="36CC02E1"/>
    <w:rsid w:val="37341001"/>
    <w:rsid w:val="378974B0"/>
    <w:rsid w:val="3A995C5C"/>
    <w:rsid w:val="3ACF167E"/>
    <w:rsid w:val="3B037579"/>
    <w:rsid w:val="3B1A3241"/>
    <w:rsid w:val="3B1D063B"/>
    <w:rsid w:val="3F650802"/>
    <w:rsid w:val="3F9609BC"/>
    <w:rsid w:val="3FD57736"/>
    <w:rsid w:val="3FE67B95"/>
    <w:rsid w:val="400E0B31"/>
    <w:rsid w:val="423050F8"/>
    <w:rsid w:val="42693060"/>
    <w:rsid w:val="42B957FA"/>
    <w:rsid w:val="42C817D4"/>
    <w:rsid w:val="44444E8A"/>
    <w:rsid w:val="444C3D3F"/>
    <w:rsid w:val="45AD4CB1"/>
    <w:rsid w:val="45E5444B"/>
    <w:rsid w:val="48EE3617"/>
    <w:rsid w:val="49172B6D"/>
    <w:rsid w:val="493556E9"/>
    <w:rsid w:val="49BA799D"/>
    <w:rsid w:val="49EF67B1"/>
    <w:rsid w:val="49EF7646"/>
    <w:rsid w:val="49F17A4A"/>
    <w:rsid w:val="4A3414FD"/>
    <w:rsid w:val="4A422E4C"/>
    <w:rsid w:val="4AB012E0"/>
    <w:rsid w:val="4BA3693A"/>
    <w:rsid w:val="4DE81C5E"/>
    <w:rsid w:val="4ECC0AD3"/>
    <w:rsid w:val="4F952A3E"/>
    <w:rsid w:val="50EE4AFC"/>
    <w:rsid w:val="51053BF3"/>
    <w:rsid w:val="550B5550"/>
    <w:rsid w:val="56170651"/>
    <w:rsid w:val="56E47788"/>
    <w:rsid w:val="57AA1051"/>
    <w:rsid w:val="589F66DB"/>
    <w:rsid w:val="594B5AD2"/>
    <w:rsid w:val="5B724982"/>
    <w:rsid w:val="5BDD283D"/>
    <w:rsid w:val="5E6C3504"/>
    <w:rsid w:val="5E745F14"/>
    <w:rsid w:val="5E75053D"/>
    <w:rsid w:val="613F0A5C"/>
    <w:rsid w:val="62595B4D"/>
    <w:rsid w:val="62B40FD5"/>
    <w:rsid w:val="62D82F16"/>
    <w:rsid w:val="64000357"/>
    <w:rsid w:val="64ED07CF"/>
    <w:rsid w:val="658630FD"/>
    <w:rsid w:val="66507A6C"/>
    <w:rsid w:val="675B2171"/>
    <w:rsid w:val="68A35D74"/>
    <w:rsid w:val="68D62580"/>
    <w:rsid w:val="6A8F5B25"/>
    <w:rsid w:val="6A933BC6"/>
    <w:rsid w:val="6C007039"/>
    <w:rsid w:val="6DB8096F"/>
    <w:rsid w:val="700F0193"/>
    <w:rsid w:val="703642F5"/>
    <w:rsid w:val="70A46B2D"/>
    <w:rsid w:val="712A5284"/>
    <w:rsid w:val="72213F14"/>
    <w:rsid w:val="726C5429"/>
    <w:rsid w:val="737A2395"/>
    <w:rsid w:val="74AC5FB0"/>
    <w:rsid w:val="769654A8"/>
    <w:rsid w:val="76D93F1F"/>
    <w:rsid w:val="784F166F"/>
    <w:rsid w:val="787153FD"/>
    <w:rsid w:val="7B7A0BB6"/>
    <w:rsid w:val="7C666DD4"/>
    <w:rsid w:val="7ED95BF4"/>
    <w:rsid w:val="7FFB603E"/>
    <w:rsid w:val="7FFC1EDC"/>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nhideWhenUsed="0" w:uiPriority="0"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nhideWhenUsed="0" w:uiPriority="0" w:semiHidden="0"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iPriority="9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4">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character" w:default="1" w:styleId="12">
    <w:name w:val="Default Paragraph Font"/>
    <w:semiHidden/>
    <w:qFormat/>
    <w:uiPriority w:val="0"/>
  </w:style>
  <w:style w:type="table" w:default="1" w:styleId="11">
    <w:name w:val="Normal Table"/>
    <w:unhideWhenUsed/>
    <w:qFormat/>
    <w:uiPriority w:val="99"/>
    <w:tblPr>
      <w:tblCellMar>
        <w:top w:w="0" w:type="dxa"/>
        <w:left w:w="108" w:type="dxa"/>
        <w:bottom w:w="0" w:type="dxa"/>
        <w:right w:w="108" w:type="dxa"/>
      </w:tblCellMar>
    </w:tblPr>
  </w:style>
  <w:style w:type="paragraph" w:styleId="2">
    <w:name w:val="Body Text"/>
    <w:next w:val="3"/>
    <w:qFormat/>
    <w:uiPriority w:val="0"/>
    <w:pPr>
      <w:widowControl w:val="0"/>
      <w:spacing w:after="120"/>
      <w:jc w:val="both"/>
    </w:pPr>
    <w:rPr>
      <w:rFonts w:ascii="Times New Roman" w:hAnsi="Times New Roman" w:eastAsia="仿宋_GB2312" w:cs="Times New Roman"/>
      <w:kern w:val="2"/>
      <w:sz w:val="30"/>
      <w:szCs w:val="24"/>
      <w:lang w:val="en-US" w:eastAsia="zh-CN" w:bidi="ar-SA"/>
    </w:rPr>
  </w:style>
  <w:style w:type="paragraph" w:styleId="3">
    <w:name w:val="Body Text First Indent"/>
    <w:next w:val="2"/>
    <w:qFormat/>
    <w:uiPriority w:val="0"/>
    <w:pPr>
      <w:widowControl w:val="0"/>
      <w:spacing w:after="120"/>
      <w:ind w:firstLine="720"/>
      <w:jc w:val="both"/>
    </w:pPr>
    <w:rPr>
      <w:rFonts w:ascii="Times New Roman" w:hAnsi="Times New Roman" w:eastAsia="仿宋_GB2312" w:cs="Times New Roman"/>
      <w:kern w:val="2"/>
      <w:sz w:val="30"/>
      <w:szCs w:val="24"/>
      <w:lang w:val="en-US" w:eastAsia="zh-CN" w:bidi="ar-SA"/>
    </w:rPr>
  </w:style>
  <w:style w:type="paragraph" w:styleId="5">
    <w:name w:val="annotation text"/>
    <w:basedOn w:val="1"/>
    <w:link w:val="16"/>
    <w:unhideWhenUsed/>
    <w:qFormat/>
    <w:uiPriority w:val="99"/>
    <w:pPr>
      <w:jc w:val="left"/>
    </w:pPr>
  </w:style>
  <w:style w:type="paragraph" w:styleId="6">
    <w:name w:val="Balloon Text"/>
    <w:basedOn w:val="1"/>
    <w:link w:val="17"/>
    <w:unhideWhenUsed/>
    <w:qFormat/>
    <w:uiPriority w:val="99"/>
    <w:rPr>
      <w:sz w:val="18"/>
      <w:szCs w:val="18"/>
    </w:rPr>
  </w:style>
  <w:style w:type="paragraph" w:styleId="7">
    <w:name w:val="footer"/>
    <w:basedOn w:val="1"/>
    <w:link w:val="18"/>
    <w:unhideWhenUsed/>
    <w:qFormat/>
    <w:uiPriority w:val="99"/>
    <w:pPr>
      <w:tabs>
        <w:tab w:val="center" w:pos="4153"/>
        <w:tab w:val="right" w:pos="8306"/>
      </w:tabs>
      <w:snapToGrid w:val="0"/>
      <w:jc w:val="left"/>
    </w:pPr>
    <w:rPr>
      <w:sz w:val="18"/>
      <w:szCs w:val="18"/>
    </w:rPr>
  </w:style>
  <w:style w:type="paragraph" w:styleId="8">
    <w:name w:val="header"/>
    <w:basedOn w:val="1"/>
    <w:link w:val="19"/>
    <w:unhideWhenUsed/>
    <w:qFormat/>
    <w:uiPriority w:val="99"/>
    <w:pPr>
      <w:pBdr>
        <w:bottom w:val="single" w:color="auto" w:sz="6" w:space="1"/>
      </w:pBdr>
      <w:tabs>
        <w:tab w:val="center" w:pos="4153"/>
        <w:tab w:val="right" w:pos="8306"/>
      </w:tabs>
      <w:snapToGrid w:val="0"/>
      <w:jc w:val="center"/>
    </w:pPr>
    <w:rPr>
      <w:sz w:val="18"/>
      <w:szCs w:val="18"/>
    </w:rPr>
  </w:style>
  <w:style w:type="paragraph" w:styleId="9">
    <w:name w:val="Normal (Web)"/>
    <w:basedOn w:val="1"/>
    <w:unhideWhenUsed/>
    <w:qFormat/>
    <w:uiPriority w:val="0"/>
    <w:pPr>
      <w:spacing w:before="100" w:beforeAutospacing="1" w:after="100" w:afterAutospacing="1"/>
      <w:ind w:left="0" w:right="0"/>
      <w:jc w:val="left"/>
    </w:pPr>
    <w:rPr>
      <w:kern w:val="0"/>
      <w:sz w:val="24"/>
      <w:lang w:val="en-US" w:eastAsia="zh-CN" w:bidi="ar"/>
    </w:rPr>
  </w:style>
  <w:style w:type="paragraph" w:styleId="10">
    <w:name w:val="annotation subject"/>
    <w:basedOn w:val="5"/>
    <w:next w:val="5"/>
    <w:link w:val="20"/>
    <w:unhideWhenUsed/>
    <w:qFormat/>
    <w:uiPriority w:val="99"/>
    <w:rPr>
      <w:b/>
      <w:bCs/>
    </w:rPr>
  </w:style>
  <w:style w:type="character" w:styleId="13">
    <w:name w:val="Strong"/>
    <w:qFormat/>
    <w:uiPriority w:val="22"/>
    <w:rPr>
      <w:b/>
      <w:bCs/>
    </w:rPr>
  </w:style>
  <w:style w:type="character" w:styleId="14">
    <w:name w:val="page number"/>
    <w:qFormat/>
    <w:uiPriority w:val="0"/>
  </w:style>
  <w:style w:type="character" w:styleId="15">
    <w:name w:val="annotation reference"/>
    <w:unhideWhenUsed/>
    <w:qFormat/>
    <w:uiPriority w:val="99"/>
    <w:rPr>
      <w:sz w:val="21"/>
      <w:szCs w:val="21"/>
    </w:rPr>
  </w:style>
  <w:style w:type="character" w:customStyle="1" w:styleId="16">
    <w:name w:val="批注文字 字符"/>
    <w:link w:val="5"/>
    <w:qFormat/>
    <w:uiPriority w:val="99"/>
    <w:rPr>
      <w:kern w:val="2"/>
      <w:sz w:val="21"/>
      <w:szCs w:val="24"/>
    </w:rPr>
  </w:style>
  <w:style w:type="character" w:customStyle="1" w:styleId="17">
    <w:name w:val="批注框文本 字符"/>
    <w:link w:val="6"/>
    <w:semiHidden/>
    <w:qFormat/>
    <w:uiPriority w:val="99"/>
    <w:rPr>
      <w:kern w:val="2"/>
      <w:sz w:val="18"/>
      <w:szCs w:val="18"/>
    </w:rPr>
  </w:style>
  <w:style w:type="character" w:customStyle="1" w:styleId="18">
    <w:name w:val="页脚 字符"/>
    <w:link w:val="7"/>
    <w:qFormat/>
    <w:uiPriority w:val="99"/>
    <w:rPr>
      <w:kern w:val="2"/>
      <w:sz w:val="18"/>
      <w:szCs w:val="18"/>
    </w:rPr>
  </w:style>
  <w:style w:type="character" w:customStyle="1" w:styleId="19">
    <w:name w:val="页眉 字符"/>
    <w:link w:val="8"/>
    <w:semiHidden/>
    <w:qFormat/>
    <w:uiPriority w:val="99"/>
    <w:rPr>
      <w:kern w:val="2"/>
      <w:sz w:val="18"/>
      <w:szCs w:val="18"/>
    </w:rPr>
  </w:style>
  <w:style w:type="character" w:customStyle="1" w:styleId="20">
    <w:name w:val="批注主题 字符"/>
    <w:link w:val="10"/>
    <w:semiHidden/>
    <w:qFormat/>
    <w:uiPriority w:val="99"/>
    <w:rPr>
      <w:b/>
      <w:bCs/>
      <w:kern w:val="2"/>
      <w:sz w:val="21"/>
      <w:szCs w:val="24"/>
    </w:rPr>
  </w:style>
  <w:style w:type="paragraph" w:customStyle="1" w:styleId="21">
    <w:name w:val="列出段落1"/>
    <w:basedOn w:val="1"/>
    <w:qFormat/>
    <w:uiPriority w:val="34"/>
    <w:pPr>
      <w:ind w:firstLine="420" w:firstLineChars="200"/>
    </w:pPr>
    <w:rPr>
      <w:rFonts w:ascii="Calibri" w:hAnsi="Calibri"/>
      <w:szCs w:val="22"/>
    </w:rPr>
  </w:style>
  <w:style w:type="paragraph" w:customStyle="1" w:styleId="22">
    <w:name w:val="_Style 19"/>
    <w:unhideWhenUsed/>
    <w:qFormat/>
    <w:uiPriority w:val="99"/>
    <w:rPr>
      <w:rFonts w:ascii="Times New Roman" w:hAnsi="Times New Roman" w:eastAsia="宋体" w:cs="Times New Roman"/>
      <w:kern w:val="2"/>
      <w:sz w:val="21"/>
      <w:szCs w:val="24"/>
      <w:lang w:val="en-US" w:eastAsia="zh-CN" w:bidi="ar-SA"/>
    </w:rPr>
  </w:style>
  <w:style w:type="paragraph" w:styleId="23">
    <w:name w:val="List Paragraph"/>
    <w:basedOn w:val="1"/>
    <w:qFormat/>
    <w:uiPriority w:val="34"/>
    <w:pPr>
      <w:adjustRightInd/>
      <w:spacing w:line="240" w:lineRule="auto"/>
      <w:ind w:firstLine="420" w:firstLineChars="200"/>
      <w:jc w:val="both"/>
      <w:textAlignment w:val="auto"/>
    </w:pPr>
    <w:rPr>
      <w:rFonts w:ascii="Calibri" w:hAnsi="Calibri"/>
      <w:kern w:val="2"/>
      <w:sz w:val="21"/>
      <w:szCs w:val="22"/>
    </w:r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Legend (Beijing) Limited</Company>
  <Pages>4</Pages>
  <Words>2189</Words>
  <Characters>2782</Characters>
  <Lines>10</Lines>
  <Paragraphs>2</Paragraphs>
  <TotalTime>4</TotalTime>
  <ScaleCrop>false</ScaleCrop>
  <LinksUpToDate>false</LinksUpToDate>
  <CharactersWithSpaces>2886</CharactersWithSpaces>
  <Application>WPS Office_12.1.0.24657_F1E327BC-269C-435d-A152-05C5408002CA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2024-03-07T01:39:00Z</dcterms:created>
  <dc:creator>Legend User</dc:creator>
  <cp:lastModifiedBy>cui</cp:lastModifiedBy>
  <cp:lastPrinted>2025-06-20T01:45:00Z</cp:lastPrinted>
  <dcterms:modified xsi:type="dcterms:W3CDTF">2026-02-04T03:47:28Z</dcterms:modified>
  <dc:title>××产品质量监督抽查实施细则</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2052-12.1.0.24657</vt:lpwstr>
  </property>
  <property fmtid="{D5CDD505-2E9C-101B-9397-08002B2CF9AE}" pid="3" name="KSOSaveFontToCloudKey">
    <vt:lpwstr>550453206_embed</vt:lpwstr>
  </property>
  <property fmtid="{D5CDD505-2E9C-101B-9397-08002B2CF9AE}" pid="4" name="ICV">
    <vt:lpwstr>3CADF72C318B4D6BA2840C9B7DD6B483_13</vt:lpwstr>
  </property>
  <property fmtid="{D5CDD505-2E9C-101B-9397-08002B2CF9AE}" pid="5" name="KSOTemplateDocerSaveRecord">
    <vt:lpwstr>eyJoZGlkIjoiMDk3M2U0ZDQ4YzMyZDhlMTI3OWMwYjE2N2QwMmUxMGEiLCJ1c2VySWQiOiI0Mjk3ODY0MzAifQ==</vt:lpwstr>
  </property>
</Properties>
</file>