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有限责任公司情形22：2-50个股东，设设董事会、经理，不设监事</w:t>
      </w:r>
    </w:p>
    <w:p>
      <w:pPr>
        <w:spacing w:line="480" w:lineRule="exact"/>
        <w:rPr>
          <w:rFonts w:asciiTheme="minorEastAsia" w:hAnsiTheme="minorEastAsia" w:cstheme="minorEastAsia"/>
          <w:b/>
          <w:bCs/>
          <w:color w:val="FF0000"/>
          <w:sz w:val="24"/>
        </w:rPr>
      </w:pPr>
      <w:r>
        <w:rPr>
          <w:rFonts w:hint="eastAsia" w:asciiTheme="minorEastAsia" w:hAnsiTheme="minorEastAsia" w:cstheme="minorEastAsia"/>
          <w:b/>
          <w:bCs/>
          <w:color w:val="FF0000"/>
          <w:sz w:val="24"/>
        </w:rPr>
        <w:t>（注:为便于工作人员审查，请保留本行内容。）</w:t>
      </w:r>
    </w:p>
    <w:p>
      <w:pPr>
        <w:spacing w:line="480" w:lineRule="exact"/>
        <w:jc w:val="center"/>
        <w:rPr>
          <w:rFonts w:ascii="仿宋_GB2312" w:hAnsi="仿宋_GB2312" w:eastAsia="仿宋_GB2312" w:cs="仿宋_GB2312"/>
          <w:sz w:val="28"/>
          <w:szCs w:val="28"/>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14:textFill>
            <w14:solidFill>
              <w14:schemeClr w14:val="tx1"/>
            </w14:solidFill>
          </w14:textFill>
        </w:rPr>
        <w:t xml:space="preserve">                </w:t>
      </w:r>
      <w:r>
        <w:rPr>
          <w:rFonts w:hint="eastAsia" w:ascii="黑体" w:hAnsi="黑体" w:eastAsia="黑体" w:cs="黑体"/>
          <w:b/>
          <w:color w:val="000000" w:themeColor="text1"/>
          <w:kern w:val="0"/>
          <w:sz w:val="32"/>
          <w:szCs w:val="32"/>
          <w14:textFill>
            <w14:solidFill>
              <w14:schemeClr w14:val="tx1"/>
            </w14:solidFill>
          </w14:textFill>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本章程为本公司行为准则，对公司、股东、董事、高级管理人员具有约束力。</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80" w:lineRule="exact"/>
        <w:ind w:firstLine="554"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许可项目：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（依法须经批准的项目，经相关部门批准后方可开展经营活动，具体经</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营项目以相关部门批准文件或许可证件为准）</w:t>
      </w:r>
    </w:p>
    <w:p>
      <w:pPr>
        <w:kinsoku w:val="0"/>
        <w:overflowPunct w:val="0"/>
        <w:spacing w:line="480" w:lineRule="exact"/>
        <w:ind w:firstLine="552" w:firstLineChars="200"/>
        <w:rPr>
          <w:rFonts w:ascii="仿宋_GB2312" w:hAnsi="仿宋_GB2312" w:eastAsia="仿宋_GB2312" w:cs="仿宋_GB2312"/>
          <w:bCs/>
          <w:iCs/>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一般项目：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14:textFill>
            <w14:solidFill>
              <w14:schemeClr w14:val="tx1"/>
            </w14:solidFill>
          </w14:textFill>
        </w:rPr>
        <w:t xml:space="preserve"> </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（注：请按经营范围规范表述查询系统选择的结果填写。） </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5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spacing w:val="-2"/>
          <w:kern w:val="0"/>
          <w:sz w:val="28"/>
          <w:szCs w:val="28"/>
        </w:rPr>
        <w:t>公司增加注册资本时，股东在同等条件下有权优先按照实缴的出资比例认缴出资。但是，</w:t>
      </w:r>
      <w:r>
        <w:rPr>
          <w:rFonts w:hint="eastAsia" w:ascii="仿宋_GB2312" w:hAnsi="仿宋_GB2312" w:eastAsia="仿宋_GB2312" w:cs="仿宋_GB2312"/>
          <w:b/>
          <w:bCs/>
          <w:spacing w:val="-2"/>
          <w:kern w:val="0"/>
          <w:sz w:val="28"/>
          <w:szCs w:val="28"/>
        </w:rPr>
        <w:t>全体股东约定不按照出资比例优先认缴出资的除外。</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公司减少注册资本时，应当按照股东出资比例相应减少出资额。法律另有规定或者</w:t>
      </w:r>
      <w:r>
        <w:rPr>
          <w:rFonts w:hint="eastAsia" w:ascii="仿宋_GB2312" w:hAnsi="仿宋_GB2312" w:eastAsia="仿宋_GB2312" w:cs="仿宋_GB2312"/>
          <w:b/>
          <w:bCs/>
          <w:spacing w:val="-2"/>
          <w:kern w:val="0"/>
          <w:sz w:val="28"/>
          <w:szCs w:val="28"/>
        </w:rPr>
        <w:t>全体股东另有约定的除外。</w:t>
      </w:r>
    </w:p>
    <w:p>
      <w:pPr>
        <w:spacing w:line="480" w:lineRule="exact"/>
        <w:jc w:val="center"/>
        <w:rPr>
          <w:rFonts w:ascii="黑体" w:hAnsi="黑体" w:eastAsia="黑体" w:cs="黑体"/>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80" w:lineRule="exact"/>
        <w:ind w:firstLine="552" w:firstLineChars="200"/>
        <w:rPr>
          <w:rFonts w:ascii="仿宋_GB2312" w:hAnsi="仿宋_GB2312" w:eastAsia="仿宋_GB2312" w:cs="仿宋_GB2312"/>
          <w:iCs/>
          <w:sz w:val="28"/>
          <w:szCs w:val="28"/>
          <w:u w:val="single"/>
        </w:rPr>
      </w:pPr>
      <w:r>
        <w:rPr>
          <w:rFonts w:hint="eastAsia" w:ascii="仿宋_GB2312" w:hAnsi="仿宋_GB2312" w:eastAsia="仿宋_GB2312" w:cs="仿宋_GB2312"/>
          <w:spacing w:val="-2"/>
          <w:kern w:val="0"/>
          <w:sz w:val="28"/>
          <w:szCs w:val="28"/>
        </w:rPr>
        <w:t xml:space="preserve">1.姓名（名称）：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2.姓名（名称）：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8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8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（四）有依法律和本章程的规定转让股权、优先购买其他股东转让的股权以及优先认缴公司新增注册资本的权利；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有权查阅、复制公司章程、股东名册、股东会会议记录、董事会会议决议和财务会计报告，对公司的经营提出建议或者质询。有权要求查阅公司会计账簿、会计凭证，公司拒绝提供查阅的，股东可以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董事会、股东会的会议召集程序、表决方式违反法律、行政法规或者公司章程，或者决议内容违反公司章程的，股东可以请求人民法院撤销。董事会、股东会的会议召集程序或者表决方式仅有轻微瑕疵，对决议未产生实质影响的除外。</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（二）应当按期足额缴纳本章程载明的各自所认缴的出资额；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ind w:firstLine="560" w:firstLineChars="200"/>
        <w:rPr>
          <w:rFonts w:ascii="仿宋_GB2312" w:hAnsi="仿宋_GB2312" w:eastAsia="仿宋_GB2312" w:cs="仿宋_GB2312"/>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60" w:lineRule="exact"/>
        <w:ind w:firstLine="554"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787"/>
        <w:gridCol w:w="1196"/>
        <w:gridCol w:w="1002"/>
        <w:gridCol w:w="1419"/>
        <w:gridCol w:w="1540"/>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序号</w:t>
            </w:r>
          </w:p>
        </w:tc>
        <w:tc>
          <w:tcPr>
            <w:tcW w:w="104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股东姓名</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（名称）</w:t>
            </w:r>
          </w:p>
        </w:tc>
        <w:tc>
          <w:tcPr>
            <w:tcW w:w="702"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认缴出资额</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（万元）</w:t>
            </w:r>
          </w:p>
        </w:tc>
        <w:tc>
          <w:tcPr>
            <w:tcW w:w="588" w:type="pct"/>
            <w:noWrap w:val="0"/>
            <w:vAlign w:val="top"/>
          </w:tcPr>
          <w:p>
            <w:pPr>
              <w:spacing w:line="360" w:lineRule="exact"/>
              <w:jc w:val="center"/>
              <w:rPr>
                <w:rFonts w:hint="eastAsia"/>
                <w:lang w:val="en-US" w:eastAsia="zh-CN"/>
              </w:rPr>
            </w:pPr>
            <w:r>
              <w:rPr>
                <w:rFonts w:hint="eastAsia" w:ascii="仿宋_GB2312" w:hAnsi="仿宋_GB2312" w:eastAsia="仿宋_GB2312" w:cs="仿宋_GB2312"/>
                <w:iCs/>
                <w:sz w:val="28"/>
                <w:szCs w:val="28"/>
                <w:vertAlign w:val="baseline"/>
                <w:lang w:eastAsia="zh-CN"/>
              </w:rPr>
              <w:t>出资方式</w:t>
            </w:r>
          </w:p>
        </w:tc>
        <w:tc>
          <w:tcPr>
            <w:tcW w:w="8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出资期限起始日期</w:t>
            </w:r>
          </w:p>
        </w:tc>
        <w:tc>
          <w:tcPr>
            <w:tcW w:w="90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出资期限截止日期</w:t>
            </w:r>
          </w:p>
        </w:tc>
        <w:tc>
          <w:tcPr>
            <w:tcW w:w="5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3"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王某某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8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2026年3月26日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2031年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增资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pPr>
              <w:spacing w:line="360" w:lineRule="exact"/>
              <w:jc w:val="left"/>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color w:val="auto"/>
                <w:sz w:val="28"/>
                <w:szCs w:val="28"/>
                <w:vertAlign w:val="baseline"/>
                <w:lang w:eastAsia="zh-CN"/>
              </w:rPr>
              <w:t>说明：“出资期限起始日期”是指设立或增资认购出资份额的日期，一经记载不可更改。</w:t>
            </w:r>
            <w:r>
              <w:rPr>
                <w:rFonts w:hint="eastAsia" w:ascii="仿宋_GB2312" w:hAnsi="仿宋_GB2312" w:eastAsia="仿宋_GB2312" w:cs="仿宋_GB2312"/>
                <w:iCs/>
                <w:color w:val="FF0000"/>
                <w:sz w:val="28"/>
                <w:szCs w:val="28"/>
                <w:vertAlign w:val="baseline"/>
                <w:lang w:eastAsia="zh-CN"/>
              </w:rPr>
              <w:t>（注：本条不得删除）</w:t>
            </w:r>
          </w:p>
        </w:tc>
      </w:tr>
    </w:tbl>
    <w:p>
      <w:pPr>
        <w:spacing w:line="460" w:lineRule="exact"/>
        <w:ind w:firstLine="560" w:firstLineChars="200"/>
        <w:rPr>
          <w:rFonts w:hint="eastAsia" w:ascii="仿宋_GB2312" w:hAnsi="仿宋_GB2312" w:eastAsia="仿宋_GB2312" w:cs="仿宋_GB2312"/>
          <w:iCs/>
          <w:sz w:val="28"/>
          <w:szCs w:val="28"/>
        </w:rPr>
      </w:pP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r>
        <w:rPr>
          <w:rFonts w:hint="eastAsia" w:ascii="仿宋_GB2312" w:hAnsi="仿宋_GB2312" w:eastAsia="仿宋_GB2312" w:cs="仿宋_GB2312"/>
          <w:iCs/>
          <w:color w:val="FF0000"/>
          <w:sz w:val="28"/>
          <w:szCs w:val="28"/>
          <w:lang w:eastAsia="zh-CN"/>
        </w:rPr>
        <w:t>同一股东不同出资方式、出资期限的应当分别列明。</w:t>
      </w:r>
    </w:p>
    <w:p>
      <w:p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2.出资期限起始日期可填写“设立登记之日”/“变更登记之日”，或“设立登记之日”/“变更登记之日”之前的具体日期。建议填写具体日期。</w:t>
      </w:r>
      <w:r>
        <w:rPr>
          <w:rFonts w:hint="eastAsia" w:ascii="仿宋_GB2312" w:hAnsi="仿宋_GB2312" w:eastAsia="仿宋_GB2312" w:cs="仿宋_GB2312"/>
          <w:iCs/>
          <w:color w:val="FF0000"/>
          <w:sz w:val="28"/>
          <w:szCs w:val="28"/>
          <w:vertAlign w:val="baseline"/>
          <w:lang w:eastAsia="zh-CN"/>
        </w:rPr>
        <w:t>出资期限截止日期不得超过</w:t>
      </w:r>
      <w:r>
        <w:rPr>
          <w:rFonts w:hint="eastAsia" w:ascii="仿宋_GB2312" w:hAnsi="仿宋_GB2312" w:eastAsia="仿宋_GB2312" w:cs="仿宋_GB2312"/>
          <w:iCs/>
          <w:color w:val="FF0000"/>
          <w:sz w:val="28"/>
          <w:szCs w:val="28"/>
          <w:lang w:val="en-US" w:eastAsia="zh-CN"/>
        </w:rPr>
        <w:t>出资期限起始日期之日起五年。2024年7月1日前登记的符合法定要求的可继续按原出资期限。</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3</w:t>
      </w:r>
      <w:r>
        <w:rPr>
          <w:rFonts w:hint="eastAsia" w:ascii="仿宋_GB2312" w:hAnsi="仿宋_GB2312" w:eastAsia="仿宋_GB2312" w:cs="仿宋_GB2312"/>
          <w:iCs/>
          <w:color w:val="FF0000"/>
          <w:sz w:val="28"/>
          <w:szCs w:val="28"/>
        </w:rPr>
        <w:t>.法律法规规定实行注册资本实缴登记制的公司，</w:t>
      </w:r>
      <w:r>
        <w:rPr>
          <w:rFonts w:hint="eastAsia" w:ascii="仿宋_GB2312" w:hAnsi="仿宋_GB2312" w:eastAsia="仿宋_GB2312" w:cs="仿宋_GB2312"/>
          <w:iCs/>
          <w:color w:val="FF0000"/>
          <w:sz w:val="28"/>
          <w:szCs w:val="28"/>
          <w:lang w:eastAsia="zh-CN"/>
        </w:rPr>
        <w:t>出资期限起始日期和截止日期</w:t>
      </w:r>
      <w:r>
        <w:rPr>
          <w:rFonts w:hint="eastAsia" w:ascii="仿宋_GB2312" w:hAnsi="仿宋_GB2312" w:eastAsia="仿宋_GB2312" w:cs="仿宋_GB2312"/>
          <w:iCs/>
          <w:color w:val="FF0000"/>
          <w:sz w:val="28"/>
          <w:szCs w:val="28"/>
        </w:rPr>
        <w:t>应为本次申请登记前。</w:t>
      </w: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lang w:val="en-US" w:eastAsia="zh-CN"/>
        </w:rPr>
        <w:t>4</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r>
        <w:rPr>
          <w:rFonts w:hint="eastAsia" w:ascii="仿宋_GB2312" w:hAnsi="仿宋_GB2312" w:eastAsia="仿宋_GB2312" w:cs="仿宋_GB2312"/>
          <w:color w:val="FF0000"/>
          <w:sz w:val="28"/>
          <w:szCs w:val="28"/>
          <w:lang w:eastAsia="zh-CN"/>
        </w:rPr>
        <w:t>备注栏填写“设立”。</w:t>
      </w:r>
      <w:r>
        <w:rPr>
          <w:rFonts w:hint="eastAsia" w:ascii="仿宋_GB2312" w:hAnsi="仿宋_GB2312" w:eastAsia="仿宋_GB2312" w:cs="仿宋_GB2312"/>
          <w:iCs/>
          <w:color w:val="FF0000"/>
          <w:sz w:val="28"/>
          <w:szCs w:val="28"/>
        </w:rPr>
        <w:t>公司</w:t>
      </w:r>
      <w:r>
        <w:rPr>
          <w:rFonts w:hint="eastAsia" w:ascii="仿宋_GB2312" w:hAnsi="仿宋_GB2312" w:eastAsia="仿宋_GB2312" w:cs="仿宋_GB2312"/>
          <w:iCs/>
          <w:color w:val="FF0000"/>
          <w:sz w:val="28"/>
          <w:szCs w:val="28"/>
          <w:lang w:eastAsia="zh-CN"/>
        </w:rPr>
        <w:t>增加</w:t>
      </w:r>
      <w:r>
        <w:rPr>
          <w:rFonts w:hint="eastAsia" w:ascii="仿宋_GB2312" w:hAnsi="仿宋_GB2312" w:eastAsia="仿宋_GB2312" w:cs="仿宋_GB2312"/>
          <w:iCs/>
          <w:color w:val="FF0000"/>
          <w:sz w:val="28"/>
          <w:szCs w:val="28"/>
        </w:rPr>
        <w:t>注册资本的，新增部分自</w:t>
      </w:r>
      <w:r>
        <w:rPr>
          <w:rFonts w:hint="eastAsia" w:ascii="仿宋_GB2312" w:hAnsi="仿宋_GB2312" w:eastAsia="仿宋_GB2312" w:cs="仿宋_GB2312"/>
          <w:iCs/>
          <w:color w:val="FF0000"/>
          <w:sz w:val="28"/>
          <w:szCs w:val="28"/>
          <w:lang w:eastAsia="zh-CN"/>
        </w:rPr>
        <w:t>变更登记</w:t>
      </w:r>
      <w:r>
        <w:rPr>
          <w:rFonts w:hint="eastAsia" w:ascii="仿宋_GB2312" w:hAnsi="仿宋_GB2312" w:eastAsia="仿宋_GB2312" w:cs="仿宋_GB2312"/>
          <w:iCs/>
          <w:color w:val="FF0000"/>
          <w:sz w:val="28"/>
          <w:szCs w:val="28"/>
        </w:rPr>
        <w:t>之日起</w:t>
      </w:r>
      <w:r>
        <w:rPr>
          <w:rFonts w:hint="eastAsia" w:ascii="仿宋_GB2312" w:hAnsi="仿宋_GB2312" w:eastAsia="仿宋_GB2312" w:cs="仿宋_GB2312"/>
          <w:iCs/>
          <w:color w:val="FF0000"/>
          <w:sz w:val="28"/>
          <w:szCs w:val="28"/>
          <w:lang w:eastAsia="zh-CN"/>
        </w:rPr>
        <w:t>五</w:t>
      </w:r>
      <w:r>
        <w:rPr>
          <w:rFonts w:hint="eastAsia" w:ascii="仿宋_GB2312" w:hAnsi="仿宋_GB2312" w:eastAsia="仿宋_GB2312" w:cs="仿宋_GB2312"/>
          <w:iCs/>
          <w:color w:val="FF0000"/>
          <w:sz w:val="28"/>
          <w:szCs w:val="28"/>
        </w:rPr>
        <w:t>年内缴足。</w:t>
      </w:r>
      <w:r>
        <w:rPr>
          <w:rFonts w:hint="eastAsia" w:ascii="仿宋_GB2312" w:hAnsi="仿宋_GB2312" w:eastAsia="仿宋_GB2312" w:cs="仿宋_GB2312"/>
          <w:iCs/>
          <w:color w:val="FF0000"/>
          <w:sz w:val="28"/>
          <w:szCs w:val="28"/>
          <w:lang w:eastAsia="zh-CN"/>
        </w:rPr>
        <w:t>备注栏填写“增资”。</w:t>
      </w:r>
    </w:p>
    <w:p>
      <w:pPr>
        <w:spacing w:line="46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iCs/>
          <w:color w:val="FF0000"/>
          <w:sz w:val="28"/>
          <w:szCs w:val="28"/>
          <w:lang w:val="en-US" w:eastAsia="zh-CN"/>
        </w:rPr>
        <w:t>5.</w:t>
      </w:r>
      <w:r>
        <w:rPr>
          <w:rFonts w:hint="eastAsia" w:ascii="仿宋_GB2312" w:hAnsi="仿宋_GB2312" w:eastAsia="仿宋_GB2312" w:cs="仿宋_GB2312"/>
          <w:iCs/>
          <w:color w:val="FF0000"/>
          <w:sz w:val="28"/>
          <w:szCs w:val="28"/>
        </w:rPr>
        <w:t>实行注册资本认缴登记制的公司，在股东缴纳出资后应当依法公示。</w:t>
      </w:r>
    </w:p>
    <w:p>
      <w:pPr>
        <w:spacing w:line="460" w:lineRule="exact"/>
        <w:ind w:firstLine="560" w:firstLineChars="200"/>
        <w:jc w:val="left"/>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6</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iCs/>
          <w:color w:val="FF0000"/>
          <w:sz w:val="28"/>
          <w:szCs w:val="28"/>
          <w:lang w:eastAsia="zh-CN"/>
        </w:rPr>
        <w:t>公司变更、备案业务要求：</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（1）2024年6月30日前登记设立的有限责任公司，剩余认缴出资期限自2027年7月1日起超过5年的，应当在2027年6月30日前将剩余认缴出资期限调整至5年内，股东应当在调整后的认缴出资期限内足额缴纳认缴的出资额。</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（2）受让股权的，按原股东出资情况填写。如受让股权同时调整出资方式或出资期限截止日期的需在决议列明，且需符合《公司法》要求。</w:t>
      </w:r>
    </w:p>
    <w:p>
      <w:pPr>
        <w:numPr>
          <w:ilvl w:val="0"/>
          <w:numId w:val="1"/>
        </w:num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涉及股东、股东出资方式、出资期限截止日期变更的，应当全部股东逐笔明确认缴出资额、认缴出资方式和认缴出资的缴付起止日期。其他情形可按原出资情况列明。</w:t>
      </w:r>
    </w:p>
    <w:p>
      <w:pPr>
        <w:spacing w:line="460" w:lineRule="exact"/>
        <w:ind w:firstLine="560" w:firstLineChars="200"/>
        <w:jc w:val="both"/>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7</w:t>
      </w:r>
      <w:r>
        <w:rPr>
          <w:rFonts w:hint="eastAsia" w:ascii="仿宋_GB2312" w:hAnsi="仿宋_GB2312" w:eastAsia="仿宋_GB2312" w:cs="仿宋_GB2312"/>
          <w:iCs/>
          <w:color w:val="FF0000"/>
          <w:sz w:val="28"/>
          <w:szCs w:val="28"/>
        </w:rPr>
        <w:t>.非公司企业法人改制为公司的，本章程应当载明股东约定的各自的出资额、出资时间和出资方式。（一）股东的出资总额等于原非公司企业法人的净资产，出资方式为净资产出资，出资</w:t>
      </w:r>
      <w:r>
        <w:rPr>
          <w:rFonts w:hint="eastAsia" w:ascii="仿宋_GB2312" w:hAnsi="仿宋_GB2312" w:eastAsia="仿宋_GB2312" w:cs="仿宋_GB2312"/>
          <w:iCs/>
          <w:color w:val="FF0000"/>
          <w:sz w:val="28"/>
          <w:szCs w:val="28"/>
          <w:lang w:val="en-US" w:eastAsia="zh-CN"/>
        </w:rPr>
        <w:t>期限起始日期</w:t>
      </w:r>
      <w:r>
        <w:rPr>
          <w:rFonts w:hint="eastAsia" w:ascii="仿宋_GB2312" w:hAnsi="仿宋_GB2312" w:eastAsia="仿宋_GB2312" w:cs="仿宋_GB2312"/>
          <w:iCs/>
          <w:color w:val="FF0000"/>
          <w:sz w:val="28"/>
          <w:szCs w:val="28"/>
        </w:rPr>
        <w:t>为改制日期。（二）净资产为负值时，股东应当补足负值，并按公司注册资本总额认缴出资。（三）改制后的注册资本总额大于净资产的，应当以认缴增资方式出资。</w:t>
      </w:r>
      <w:r>
        <w:rPr>
          <w:rFonts w:hint="eastAsia" w:ascii="仿宋_GB2312" w:hAnsi="仿宋_GB2312" w:eastAsia="仿宋_GB2312" w:cs="仿宋_GB2312"/>
          <w:iCs/>
          <w:color w:val="FF0000"/>
          <w:sz w:val="28"/>
          <w:szCs w:val="28"/>
          <w:lang w:eastAsia="zh-CN"/>
        </w:rPr>
        <w:t>增资部分自变更登记之日起五年内缴足。</w:t>
      </w:r>
      <w:r>
        <w:rPr>
          <w:rFonts w:hint="eastAsia" w:ascii="仿宋_GB2312" w:hAnsi="仿宋_GB2312" w:eastAsia="仿宋_GB2312" w:cs="仿宋_GB2312"/>
          <w:iCs/>
          <w:color w:val="FF000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股东应当按期足额缴纳公司章程规定的各自所认缴的出资额。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公司成立后，发现作为设立公司出资的非货币财产的实际价额显著低于所认缴的出资额的，应当由交付该出资的股东补足其差额；公司设立时的其他股东与该股东在出资不足的范围内承担连带责任。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有限责任公司成立后，董事会应当对股东的出资情况进行核查，发现股东未按期足额缴纳公司章程规定的出资的，应当由公司向该股东发出书面催缴书，催缴出资。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依照前款规定丧失的股权应当依法转让，或者相应减少注册资本并注销该股权；六个月内未转让或者注销的，由公司其他股东按照其出资比例足额缴纳相应出资。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违反前款规定的，股东应当返还抽逃的出资；给公司造成损失的，负有责任的董事、高级管理人员应当与该股东承担连带赔偿责任。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人民法院依照法律规定的强制执行程序转让股东的股权时，其他股东在同等条件下有优先购买权。其他股东自人民法院通知之日起满二十日不行使优先购买权的，视为放弃优先购买权。  </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第二十四条</w:t>
      </w:r>
      <w:r>
        <w:rPr>
          <w:rFonts w:hint="eastAsia" w:ascii="仿宋_GB2312" w:hAnsi="仿宋_GB2312" w:eastAsia="仿宋_GB2312" w:cs="仿宋_GB2312"/>
          <w:b/>
          <w:bCs/>
          <w:color w:val="FF0000"/>
          <w:spacing w:val="-2"/>
          <w:kern w:val="0"/>
          <w:sz w:val="28"/>
          <w:szCs w:val="28"/>
        </w:rPr>
        <w:t xml:space="preserve"> </w:t>
      </w:r>
      <w:r>
        <w:rPr>
          <w:rFonts w:hint="eastAsia" w:ascii="仿宋_GB2312" w:hAnsi="仿宋_GB2312" w:eastAsia="仿宋_GB2312" w:cs="仿宋_GB2312"/>
          <w:spacing w:val="-2"/>
          <w:kern w:val="0"/>
          <w:sz w:val="28"/>
          <w:szCs w:val="28"/>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转让股权后，公司应当及时注销原股东的出资证明书，向新股东签发出资证明书，并相应修改公司章程和股东名册中有关股东及其出资额的记载。对公司章程的该项修改不需再由股东会表决。</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第二十五条</w:t>
      </w:r>
      <w:r>
        <w:rPr>
          <w:rFonts w:hint="eastAsia" w:ascii="仿宋_GB2312" w:hAnsi="仿宋_GB2312" w:eastAsia="仿宋_GB2312" w:cs="仿宋_GB2312"/>
          <w:spacing w:val="-2"/>
          <w:kern w:val="0"/>
          <w:sz w:val="28"/>
          <w:szCs w:val="28"/>
        </w:rPr>
        <w:t xml:space="preserve"> 有下列情形之一的，对股东会该项决议投反对票的股东可以请求公司按照合理的价格收购其股权：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（一）公司连续五年不向股东分配利润，而公司该五年连续盈利，并且符合《公司法》的分配利润条件；</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（二）公司合并、分立、转让主要财产；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（三）公司章程规定的营业期限届满或者章程规定的其他解散事由出现，股东会通过决议修改章程使公司存续。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自股东会决议作出之日起六十日内，股东与公司不能达成股权收购协议的，股东可以自股东会决议作出之日起九十日内向人民法院提起诉讼。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公司的控股股东滥用股东权利，严重损害公司或者其他股东利益的，其他股东有权请求公司按照合理的价格收购其股权。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公司因本条第一款、第三款规定的情形收购的本公司股权，应当在六个月内依法转让或者注销。</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80" w:lineRule="exact"/>
        <w:ind w:firstLine="560" w:firstLineChars="200"/>
        <w:rPr>
          <w:rFonts w:ascii="仿宋_GB2312" w:hAnsi="仿宋_GB2312" w:eastAsia="仿宋_GB2312" w:cs="仿宋_GB2312"/>
          <w:iCs/>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第二十八条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股东会选举</w:t>
      </w:r>
      <w:r>
        <w:rPr>
          <w:rFonts w:hint="eastAsia" w:ascii="仿宋_GB2312" w:hAnsi="仿宋_GB2312" w:eastAsia="仿宋_GB2312" w:cs="仿宋_GB2312"/>
          <w:spacing w:val="-2"/>
          <w:kern w:val="0"/>
          <w:sz w:val="28"/>
          <w:szCs w:val="28"/>
        </w:rPr>
        <w:t>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（1.适用于法定代表人由代表公司执行公司事务的董事担任。2.执行公司事务的董事可以由董事会或者其他机构选举或其他方式产生，并修改本款。）</w:t>
      </w:r>
    </w:p>
    <w:p>
      <w:pPr>
        <w:spacing w:line="480" w:lineRule="exact"/>
        <w:ind w:firstLine="552" w:firstLineChars="200"/>
        <w:rPr>
          <w:rFonts w:ascii="仿宋_GB2312" w:hAnsi="仿宋_GB2312" w:eastAsia="仿宋_GB2312" w:cs="仿宋_GB2312"/>
          <w:color w:val="FF0000"/>
          <w:spacing w:val="-2"/>
          <w:kern w:val="0"/>
          <w:sz w:val="28"/>
          <w:szCs w:val="28"/>
        </w:rPr>
      </w:pP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法定代表人应当遵守法律、行政法规以及本章程的规定，不得滥用职权，不得作出违背公司股东会、董事会决议的行为，不得违反对公司的忠实义务和勤勉义务。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（二）法定代表人由执行公司事务的董事或经理担任，但其丧失董事资格的；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第三十二条 </w:t>
      </w:r>
      <w:r>
        <w:rPr>
          <w:rFonts w:hint="eastAsia" w:ascii="仿宋_GB2312" w:hAnsi="仿宋_GB2312" w:eastAsia="仿宋_GB2312" w:cs="仿宋_GB2312"/>
          <w:spacing w:val="-2"/>
          <w:kern w:val="0"/>
          <w:sz w:val="28"/>
          <w:szCs w:val="28"/>
        </w:rPr>
        <w:t>公司股东会由全体股东组成，股东会是公司的权力机构。</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第三十三条 </w:t>
      </w:r>
      <w:r>
        <w:rPr>
          <w:rFonts w:hint="eastAsia" w:ascii="仿宋_GB2312" w:hAnsi="仿宋_GB2312" w:eastAsia="仿宋_GB2312" w:cs="仿宋_GB2312"/>
          <w:spacing w:val="-2"/>
          <w:kern w:val="0"/>
          <w:sz w:val="28"/>
          <w:szCs w:val="28"/>
        </w:rPr>
        <w:t>股东会行使下列职权：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（一）选举和更换董事，决定有关董事的报酬事项；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（四）对公司增加或者减少注册资本作出决议；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（六）对公司合并、分立、解散、清算或者变更公司形式作出决议；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（七）修改公司章程。</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股东会可以授权董事会对发行公司债券作出决议。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对本条第一款所列事项股东以书面形式一致表示同意的，可以不召开股东会会议，直接作出决定，并由全体股东在决定文件上签名或者盖章。 </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bCs/>
          <w:kern w:val="0"/>
          <w:sz w:val="28"/>
          <w:szCs w:val="28"/>
        </w:rPr>
        <w:t xml:space="preserve"> 股东会会议分为定期会议和临时会议。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定期会议在</w:t>
      </w:r>
      <w:r>
        <w:rPr>
          <w:rFonts w:hint="eastAsia" w:ascii="仿宋_GB2312" w:hAnsi="仿宋_GB2312" w:eastAsia="仿宋_GB2312" w:cs="仿宋_GB2312"/>
          <w:bCs/>
          <w:kern w:val="0"/>
          <w:sz w:val="28"/>
          <w:szCs w:val="28"/>
          <w:u w:val="single"/>
        </w:rPr>
        <w:t>每会计年度期末</w:t>
      </w:r>
      <w:r>
        <w:rPr>
          <w:rFonts w:hint="eastAsia" w:ascii="仿宋_GB2312" w:hAnsi="仿宋_GB2312" w:eastAsia="仿宋_GB2312" w:cs="仿宋_GB2312"/>
          <w:bCs/>
          <w:kern w:val="0"/>
          <w:sz w:val="28"/>
          <w:szCs w:val="28"/>
        </w:rPr>
        <w:t>召开一次。</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（注：可以自行约定股东会定期会议召开的频次及时间，并相应修改本条。）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代表十分之一以上表决权的股东、</w:t>
      </w:r>
      <w:r>
        <w:rPr>
          <w:rFonts w:hint="eastAsia" w:ascii="仿宋_GB2312" w:hAnsi="仿宋_GB2312" w:eastAsia="仿宋_GB2312" w:cs="仿宋_GB2312"/>
          <w:bCs/>
          <w:kern w:val="0"/>
          <w:sz w:val="28"/>
          <w:szCs w:val="28"/>
          <w:lang w:eastAsia="zh-CN"/>
        </w:rPr>
        <w:t>三分之一以上的</w:t>
      </w:r>
      <w:r>
        <w:rPr>
          <w:rFonts w:hint="eastAsia" w:ascii="仿宋_GB2312" w:hAnsi="仿宋_GB2312" w:eastAsia="仿宋_GB2312" w:cs="仿宋_GB2312"/>
          <w:bCs/>
          <w:kern w:val="0"/>
          <w:sz w:val="28"/>
          <w:szCs w:val="28"/>
        </w:rPr>
        <w:t>董事提议召开临时会议的，应当召开临时会议。</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bCs/>
          <w:kern w:val="0"/>
          <w:sz w:val="28"/>
          <w:szCs w:val="28"/>
        </w:rPr>
        <w:t xml:space="preserve"> 股东会会议由董事会召集，董事长主持；董事长不能履行职务或者不履行职务的，由过半数的董事共同推举一名董事主持；董事会不能履行或者不履行召集股东会会议职责的，代表十分之一以上表决权的股东可以自行召集和主持。</w:t>
      </w:r>
    </w:p>
    <w:p>
      <w:pPr>
        <w:spacing w:line="46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color w:val="FF0000"/>
          <w:kern w:val="0"/>
          <w:sz w:val="28"/>
          <w:szCs w:val="28"/>
        </w:rPr>
        <w:t>（注：设副董事长的本条修改为：股东会会议由董事会召集，董事长主持；董事长不能履行职务或者不履行职务的，由副董事长主持；副董事长不能履行职务或者不履行职务的，由过半数的董事共同推举一名董事主持；董事会不能履行或者不履行召集股东会会议职责的，代表十分之一以上表决权的股东可以自行召集和主持。）</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bCs/>
          <w:kern w:val="0"/>
          <w:sz w:val="28"/>
          <w:szCs w:val="28"/>
        </w:rPr>
        <w:t xml:space="preserve"> 召开股东会会议，应当于会议召开</w:t>
      </w:r>
      <w:r>
        <w:rPr>
          <w:rFonts w:hint="eastAsia" w:ascii="仿宋_GB2312" w:hAnsi="仿宋_GB2312" w:eastAsia="仿宋_GB2312" w:cs="仿宋_GB2312"/>
          <w:bCs/>
          <w:kern w:val="0"/>
          <w:sz w:val="28"/>
          <w:szCs w:val="28"/>
          <w:u w:val="single"/>
        </w:rPr>
        <w:t>十五日</w:t>
      </w:r>
      <w:r>
        <w:rPr>
          <w:rFonts w:hint="eastAsia" w:ascii="仿宋_GB2312" w:hAnsi="仿宋_GB2312" w:eastAsia="仿宋_GB2312" w:cs="仿宋_GB2312"/>
          <w:bCs/>
          <w:kern w:val="0"/>
          <w:sz w:val="28"/>
          <w:szCs w:val="28"/>
        </w:rPr>
        <w:t>前通知全体股东；</w:t>
      </w:r>
      <w:r>
        <w:rPr>
          <w:rFonts w:hint="eastAsia" w:ascii="仿宋_GB2312" w:hAnsi="仿宋_GB2312" w:eastAsia="仿宋_GB2312" w:cs="仿宋_GB2312"/>
          <w:b/>
          <w:kern w:val="0"/>
          <w:sz w:val="28"/>
          <w:szCs w:val="28"/>
        </w:rPr>
        <w:t>但是，全体股东另有约定的除外。</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会议通知的内容应当包括：股东会召开的时间、地点、议题等。</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第三十七条</w:t>
      </w:r>
      <w:r>
        <w:rPr>
          <w:rFonts w:hint="eastAsia" w:ascii="仿宋_GB2312" w:hAnsi="仿宋_GB2312" w:eastAsia="仿宋_GB2312" w:cs="仿宋_GB2312"/>
          <w:bCs/>
          <w:kern w:val="0"/>
          <w:sz w:val="28"/>
          <w:szCs w:val="28"/>
        </w:rPr>
        <w:t xml:space="preserve"> 股东会应当对股东会会议通知情况、股东出席情况、表决情况以及所议事项的决定作成会议记录，出席会议的股东应当在会议记录上签名或者盖章。</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bCs/>
          <w:kern w:val="0"/>
          <w:sz w:val="28"/>
          <w:szCs w:val="28"/>
        </w:rPr>
        <w:t xml:space="preserve"> 股东按照</w:t>
      </w:r>
      <w:r>
        <w:rPr>
          <w:rFonts w:hint="eastAsia" w:ascii="仿宋_GB2312" w:hAnsi="仿宋_GB2312" w:eastAsia="仿宋_GB2312" w:cs="仿宋_GB2312"/>
          <w:bCs/>
          <w:kern w:val="0"/>
          <w:sz w:val="28"/>
          <w:szCs w:val="28"/>
          <w:u w:val="single"/>
        </w:rPr>
        <w:t>认缴出资比例</w:t>
      </w:r>
      <w:r>
        <w:rPr>
          <w:rFonts w:hint="eastAsia" w:ascii="仿宋_GB2312" w:hAnsi="仿宋_GB2312" w:eastAsia="仿宋_GB2312" w:cs="仿宋_GB2312"/>
          <w:bCs/>
          <w:kern w:val="0"/>
          <w:sz w:val="28"/>
          <w:szCs w:val="28"/>
        </w:rPr>
        <w:t>行使表决权。</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（注：可以约定其他方式行使表决权，例如一人一票或实缴出资比例等方式，并修改本条。）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bCs/>
          <w:kern w:val="0"/>
          <w:sz w:val="28"/>
          <w:szCs w:val="28"/>
        </w:rPr>
        <w:t xml:space="preserve"> 股东会作出决议，应当经代表过半数表决权的股东通过。</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股东会作出修改公司章程、增加或者减少注册资本的决议，以及公司合并、分立、解散或者变更公司形式的决议，应当经代表三分之二以上表决权的股东通过。</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第四十条</w:t>
      </w:r>
      <w:r>
        <w:rPr>
          <w:rFonts w:hint="eastAsia" w:ascii="仿宋_GB2312" w:hAnsi="仿宋_GB2312" w:eastAsia="仿宋_GB2312" w:cs="仿宋_GB2312"/>
          <w:bCs/>
          <w:kern w:val="0"/>
          <w:sz w:val="28"/>
          <w:szCs w:val="28"/>
        </w:rPr>
        <w:t xml:space="preserve">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人，由股东会选举产生。</w:t>
      </w:r>
      <w:r>
        <w:rPr>
          <w:rFonts w:hint="eastAsia" w:ascii="仿宋_GB2312" w:hAnsi="仿宋_GB2312" w:eastAsia="仿宋_GB2312" w:cs="仿宋_GB2312"/>
          <w:color w:val="FF0000"/>
          <w:spacing w:val="-2"/>
          <w:kern w:val="0"/>
          <w:sz w:val="28"/>
          <w:szCs w:val="28"/>
        </w:rPr>
        <w:t>（适用于董事会成员中无职工代表董事）</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8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由股东会选举产生，职工代表的董事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(注：1.有限责任公司董事会成员为三人以上，其成员中可以有公司职工代表。职工人数三百人以上的有限责任公司，除依法设监事会并有公司职工代表的外，其董事会成员中应当有公司职工代表。</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第四十一条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rPr>
        <w:t>三</w:t>
      </w:r>
      <w:r>
        <w:rPr>
          <w:rFonts w:hint="eastAsia" w:ascii="仿宋_GB2312" w:hAnsi="仿宋_GB2312" w:eastAsia="仿宋_GB2312" w:cs="仿宋_GB2312"/>
          <w:spacing w:val="-2"/>
          <w:kern w:val="0"/>
          <w:sz w:val="28"/>
          <w:szCs w:val="28"/>
        </w:rPr>
        <w:t>年。董事任期届满，经任命方同意可以连任。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第四十二条</w:t>
      </w:r>
      <w:r>
        <w:rPr>
          <w:rFonts w:hint="eastAsia" w:ascii="仿宋_GB2312" w:hAnsi="仿宋_GB2312" w:eastAsia="仿宋_GB2312" w:cs="仿宋_GB2312"/>
          <w:spacing w:val="-2"/>
          <w:kern w:val="0"/>
          <w:sz w:val="28"/>
          <w:szCs w:val="28"/>
        </w:rPr>
        <w:t xml:space="preserve"> 董事会设董事长一人，</w:t>
      </w:r>
      <w:r>
        <w:rPr>
          <w:rFonts w:hint="eastAsia" w:ascii="仿宋_GB2312" w:hAnsi="仿宋_GB2312" w:eastAsia="仿宋_GB2312" w:cs="仿宋_GB2312"/>
          <w:spacing w:val="-2"/>
          <w:kern w:val="0"/>
          <w:sz w:val="28"/>
          <w:szCs w:val="28"/>
          <w:u w:val="single"/>
        </w:rPr>
        <w:t>由董事会从董事中选举产生。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（注：1.董事会可以设副董事长，设副董事长的，应当修改本条；</w:t>
      </w:r>
    </w:p>
    <w:p>
      <w:pPr>
        <w:spacing w:line="48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2.董事长、副董事长也可以由股东会选举或其他方式产生，并修改本条。）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第四十三条</w:t>
      </w:r>
      <w:r>
        <w:rPr>
          <w:rFonts w:hint="eastAsia" w:ascii="仿宋_GB2312" w:hAnsi="仿宋_GB2312" w:eastAsia="仿宋_GB2312" w:cs="仿宋_GB2312"/>
          <w:spacing w:val="-2"/>
          <w:kern w:val="0"/>
          <w:sz w:val="28"/>
          <w:szCs w:val="28"/>
        </w:rPr>
        <w:t xml:space="preserve"> 董事会行使下列职权：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（八）决定聘任或者解聘公司经理及其报酬事项，并根据经理的提名决定聘任或者解聘公司副经理、财务负责人及其报酬事项；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第四十四条</w:t>
      </w:r>
      <w:r>
        <w:rPr>
          <w:rFonts w:hint="eastAsia" w:ascii="仿宋_GB2312" w:hAnsi="仿宋_GB2312" w:eastAsia="仿宋_GB2312" w:cs="仿宋_GB2312"/>
          <w:spacing w:val="-2"/>
          <w:kern w:val="0"/>
          <w:sz w:val="28"/>
          <w:szCs w:val="28"/>
        </w:rPr>
        <w:t xml:space="preserve"> 董事会的议事方式和表决程序：</w:t>
      </w:r>
    </w:p>
    <w:p>
      <w:pPr>
        <w:spacing w:line="460" w:lineRule="exact"/>
        <w:ind w:left="559" w:leftChars="266"/>
        <w:rPr>
          <w:rFonts w:ascii="仿宋_GB2312" w:hAnsi="仿宋_GB2312" w:eastAsia="仿宋_GB2312" w:cs="仿宋_GB2312"/>
          <w:bCs/>
          <w:color w:val="FF0000"/>
          <w:kern w:val="0"/>
          <w:sz w:val="28"/>
          <w:szCs w:val="28"/>
        </w:rPr>
      </w:pPr>
      <w:r>
        <w:rPr>
          <w:rFonts w:hint="eastAsia" w:ascii="仿宋_GB2312" w:hAnsi="仿宋_GB2312" w:eastAsia="仿宋_GB2312" w:cs="仿宋_GB2312"/>
          <w:spacing w:val="-2"/>
          <w:kern w:val="0"/>
          <w:sz w:val="28"/>
          <w:szCs w:val="28"/>
        </w:rPr>
        <w:t>（一）召开董事会会议应当于会议召开</w:t>
      </w:r>
      <w:r>
        <w:rPr>
          <w:rFonts w:hint="eastAsia" w:ascii="仿宋_GB2312" w:hAnsi="仿宋_GB2312" w:eastAsia="仿宋_GB2312" w:cs="仿宋_GB2312"/>
          <w:spacing w:val="-2"/>
          <w:kern w:val="0"/>
          <w:sz w:val="28"/>
          <w:szCs w:val="28"/>
          <w:u w:val="single"/>
        </w:rPr>
        <w:t>十五</w:t>
      </w:r>
      <w:r>
        <w:rPr>
          <w:rFonts w:hint="eastAsia" w:ascii="仿宋_GB2312" w:hAnsi="仿宋_GB2312" w:eastAsia="仿宋_GB2312" w:cs="仿宋_GB2312"/>
          <w:spacing w:val="-2"/>
          <w:kern w:val="0"/>
          <w:sz w:val="28"/>
          <w:szCs w:val="28"/>
        </w:rPr>
        <w:t>日前通知全体董事；</w:t>
      </w:r>
      <w:r>
        <w:rPr>
          <w:rFonts w:hint="eastAsia" w:ascii="仿宋_GB2312" w:hAnsi="仿宋_GB2312" w:eastAsia="仿宋_GB2312" w:cs="仿宋_GB2312"/>
          <w:bCs/>
          <w:color w:val="FF0000"/>
          <w:kern w:val="0"/>
          <w:sz w:val="28"/>
          <w:szCs w:val="28"/>
        </w:rPr>
        <w:t>（注：可以约定15日以外的期限，并修改本项。）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（二）董事会会议由董事长召集和主持；董事长不能履行职务或者不履行职务的，由过半数的董事共同推举一名董事召集和主持；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设副董事长的本项请修改为：董事会会议由董事长召集和主持；董事长不能履行职务或者不履行职务的，由副董事长召集和主持；副董事长不能履行职务或者不履行职务的，由过半数的董事共同推举一名董事召集和主持；）</w:t>
      </w:r>
      <w:r>
        <w:rPr>
          <w:rFonts w:hint="eastAsia" w:ascii="仿宋_GB2312" w:hAnsi="仿宋_GB2312" w:eastAsia="仿宋_GB2312" w:cs="仿宋_GB2312"/>
          <w:spacing w:val="-2"/>
          <w:kern w:val="0"/>
          <w:sz w:val="28"/>
          <w:szCs w:val="28"/>
        </w:rPr>
        <w:t xml:space="preserve">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80" w:lineRule="exact"/>
        <w:ind w:firstLine="56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设经理，由董事会聘任产生。</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经理列席董事会会议。</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第四十六条 全体股东一致同意</w:t>
      </w:r>
      <w:r>
        <w:rPr>
          <w:rFonts w:hint="eastAsia" w:ascii="仿宋_GB2312" w:hAnsi="仿宋_GB2312" w:eastAsia="仿宋_GB2312" w:cs="仿宋_GB2312"/>
          <w:spacing w:val="-2"/>
          <w:kern w:val="0"/>
          <w:sz w:val="28"/>
          <w:szCs w:val="28"/>
        </w:rPr>
        <w:t>公司不</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设监事。</w:t>
      </w:r>
    </w:p>
    <w:p>
      <w:pPr>
        <w:spacing w:line="480" w:lineRule="exact"/>
        <w:ind w:firstLine="831" w:firstLineChars="300"/>
        <w:rPr>
          <w:rFonts w:ascii="仿宋_GB2312" w:hAnsi="仿宋_GB2312" w:eastAsia="仿宋_GB2312" w:cs="仿宋_GB2312"/>
          <w:b/>
          <w:bCs/>
          <w:color w:val="000000" w:themeColor="text1"/>
          <w:spacing w:val="-2"/>
          <w:kern w:val="0"/>
          <w:sz w:val="28"/>
          <w:szCs w:val="28"/>
          <w14:textFill>
            <w14:solidFill>
              <w14:schemeClr w14:val="tx1"/>
            </w14:solidFill>
          </w14:textFill>
        </w:rPr>
      </w:pPr>
    </w:p>
    <w:p>
      <w:pPr>
        <w:spacing w:line="480" w:lineRule="exact"/>
        <w:jc w:val="center"/>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第八章  公司董事、高级管理人员资格和义务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spacing w:val="-2"/>
          <w:kern w:val="0"/>
          <w:sz w:val="28"/>
          <w:szCs w:val="28"/>
        </w:rPr>
        <w:t>有下列情形之一的，不得担任公司的董事、高级管理人员：</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董事、高级管理人员在任职期间出现本条第一款所列情形的，公司应当解除其职务。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第四十九条</w:t>
      </w:r>
      <w:r>
        <w:rPr>
          <w:rFonts w:hint="eastAsia" w:ascii="仿宋_GB2312" w:hAnsi="仿宋_GB2312" w:eastAsia="仿宋_GB2312" w:cs="仿宋_GB2312"/>
          <w:spacing w:val="-2"/>
          <w:kern w:val="0"/>
          <w:sz w:val="28"/>
          <w:szCs w:val="28"/>
        </w:rPr>
        <w:t xml:space="preserve"> 董事、高级管理人员不得有下列行为：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董事、高级管理人员，直接或者间接与本公司订立合同或者进行交易，应当就与订立合同或者进行交易有关的事项向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董事、高级管理人员的近亲属，董事、高级管理人员或者其近亲属直接或者间接控制的企业，以及与董事、高级管理人员有其他关联关系的关联人，与公司订立合同或者进行交易，适用前款规定。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董事、高级管理人员，不得利用职务便利为自己或者他人谋取属于公司的商业机会。但是，有下列情形之一的除外：</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董事、高级管理人员未向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w:t>
      </w:r>
      <w:r>
        <w:rPr>
          <w:rFonts w:hint="eastAsia" w:ascii="仿宋_GB2312" w:hAnsi="仿宋_GB2312" w:eastAsia="仿宋_GB2312" w:cs="仿宋_GB2312"/>
          <w:spacing w:val="-2"/>
          <w:kern w:val="0"/>
          <w:sz w:val="28"/>
          <w:szCs w:val="28"/>
        </w:rPr>
        <w:t>决议通过，不得自营或者为他人经营与其任职公司同类的业务。</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第五十三条</w:t>
      </w:r>
      <w:r>
        <w:rPr>
          <w:rFonts w:hint="eastAsia" w:ascii="仿宋_GB2312" w:hAnsi="仿宋_GB2312" w:eastAsia="仿宋_GB2312" w:cs="仿宋_GB2312"/>
          <w:spacing w:val="-2"/>
          <w:kern w:val="0"/>
          <w:sz w:val="28"/>
          <w:szCs w:val="28"/>
        </w:rPr>
        <w:t xml:space="preserve"> 董事会对本章程第</w:t>
      </w:r>
      <w:r>
        <w:rPr>
          <w:rFonts w:hint="eastAsia" w:ascii="仿宋_GB2312" w:hAnsi="仿宋_GB2312" w:eastAsia="仿宋_GB2312" w:cs="仿宋_GB2312"/>
          <w:spacing w:val="-2"/>
          <w:kern w:val="0"/>
          <w:sz w:val="28"/>
          <w:szCs w:val="28"/>
          <w:lang w:eastAsia="zh-CN"/>
        </w:rPr>
        <w:t>五十一</w:t>
      </w:r>
      <w:r>
        <w:rPr>
          <w:rFonts w:hint="eastAsia" w:ascii="仿宋_GB2312" w:hAnsi="仿宋_GB2312" w:eastAsia="仿宋_GB2312" w:cs="仿宋_GB2312"/>
          <w:spacing w:val="-2"/>
          <w:kern w:val="0"/>
          <w:sz w:val="28"/>
          <w:szCs w:val="28"/>
        </w:rPr>
        <w:t>条至第五十</w:t>
      </w:r>
      <w:r>
        <w:rPr>
          <w:rFonts w:hint="eastAsia" w:ascii="仿宋_GB2312" w:hAnsi="仿宋_GB2312" w:eastAsia="仿宋_GB2312" w:cs="仿宋_GB2312"/>
          <w:spacing w:val="-2"/>
          <w:kern w:val="0"/>
          <w:sz w:val="28"/>
          <w:szCs w:val="28"/>
          <w:lang w:eastAsia="zh-CN"/>
        </w:rPr>
        <w:t>三</w:t>
      </w:r>
      <w:r>
        <w:rPr>
          <w:rFonts w:hint="eastAsia" w:ascii="仿宋_GB2312" w:hAnsi="仿宋_GB2312" w:eastAsia="仿宋_GB2312" w:cs="仿宋_GB2312"/>
          <w:spacing w:val="-2"/>
          <w:kern w:val="0"/>
          <w:sz w:val="28"/>
          <w:szCs w:val="28"/>
        </w:rPr>
        <w:t>条规定的事项决议时，关联董事不得参与表决，其表决权不计入表决权总数。出席董事会会议的无关联关系董事人数不足三人的，应当将该事项提交股东会审议。</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董事、高级管理人员违反《公司法》第一百八十一条至第一百八十四条规定所得的收入应当归公司所有。</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第五十五条</w:t>
      </w:r>
      <w:r>
        <w:rPr>
          <w:rFonts w:hint="eastAsia" w:ascii="仿宋_GB2312" w:hAnsi="仿宋_GB2312" w:eastAsia="仿宋_GB2312" w:cs="仿宋_GB2312"/>
          <w:spacing w:val="-2"/>
          <w:kern w:val="0"/>
          <w:sz w:val="28"/>
          <w:szCs w:val="28"/>
        </w:rPr>
        <w:t xml:space="preserve"> 董事、高级管理人员执行职务违反法律、行政法规或者公司章程的规定，给公司造成损失的，应当承担赔偿责任。</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公司财务、会计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第五十六条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80" w:lineRule="exact"/>
        <w:ind w:firstLine="56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w:t>
      </w:r>
      <w:r>
        <w:rPr>
          <w:rFonts w:hint="eastAsia" w:ascii="仿宋_GB2312" w:hAnsi="仿宋_GB2312" w:eastAsia="仿宋_GB2312" w:cs="仿宋_GB2312"/>
          <w:b/>
          <w:bCs/>
          <w:spacing w:val="-2"/>
          <w:kern w:val="0"/>
          <w:sz w:val="28"/>
          <w:szCs w:val="28"/>
        </w:rPr>
        <w:t>不按照股东出资比例分配利润的，应经全体股东同意。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公司违反《公司法》的规定向股东分配利润的，股东应当将违反规定分配的利润退还公司；给公司造成损失的，股东及负有责任的董事、高级管理人员应当承担赔偿责任。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股东会作出分配利润的决议的，董事会应当在股东会决议作出之日起六个月内进行分配。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第五十九条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（注：公司聘用、解聘承办公司审计业务的会计师事务所，可约定由董事会决议，并修改本条。）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w:t>
      </w:r>
      <w:r>
        <w:rPr>
          <w:rFonts w:hint="eastAsia" w:ascii="黑体" w:hAnsi="黑体" w:eastAsia="黑体" w:cs="黑体"/>
          <w:b/>
          <w:kern w:val="0"/>
          <w:sz w:val="28"/>
          <w:szCs w:val="28"/>
        </w:rPr>
        <w:t>章  公司的解散、清算</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8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第六十四条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第六十五条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公司财产在分别支付清算费用、职工的工资、社会保险费用和法定补偿金，缴纳所欠税款，清偿公司债务后的剩余财产，按照股东的出资比例分配。</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第六十七条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第六十八条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第十一章   公司的通知和通知方式</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第六十九条</w:t>
      </w:r>
      <w:r>
        <w:rPr>
          <w:rFonts w:hint="eastAsia" w:ascii="仿宋_GB2312" w:hAnsi="仿宋_GB2312" w:eastAsia="仿宋_GB2312" w:cs="仿宋_GB2312"/>
          <w:bCs/>
          <w:kern w:val="0"/>
          <w:sz w:val="28"/>
          <w:szCs w:val="28"/>
        </w:rPr>
        <w:t xml:space="preserve"> 公司有下列情形之一的，应予通知：</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（一）召开股东会会议；</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（二）股东或者股东委托公司对股权转让事项予以通知。</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第七十条</w:t>
      </w:r>
      <w:r>
        <w:rPr>
          <w:rFonts w:hint="eastAsia" w:ascii="仿宋_GB2312" w:hAnsi="仿宋_GB2312" w:eastAsia="仿宋_GB2312" w:cs="仿宋_GB2312"/>
          <w:bCs/>
          <w:kern w:val="0"/>
          <w:sz w:val="28"/>
          <w:szCs w:val="28"/>
        </w:rPr>
        <w:t xml:space="preserve"> 公司通知可采用以下方式：</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1.前条第（一）项情形可以采用口头通知方式。若口头通知方式未能通知全体参会人员的，必须采用书面通知方式。</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80" w:lineRule="exact"/>
        <w:ind w:firstLine="560"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（注：1.若有其他方式可在本条列明。2.本章为参考内容，可结合实际情况自行约定）</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十二</w:t>
      </w:r>
      <w:r>
        <w:rPr>
          <w:rFonts w:hint="eastAsia" w:ascii="黑体" w:hAnsi="黑体" w:eastAsia="黑体" w:cs="黑体"/>
          <w:b/>
          <w:kern w:val="0"/>
          <w:sz w:val="28"/>
          <w:szCs w:val="28"/>
        </w:rPr>
        <w:t>章  公司的其他规定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第七十一条 </w:t>
      </w:r>
      <w:r>
        <w:rPr>
          <w:rFonts w:hint="eastAsia" w:ascii="仿宋_GB2312" w:hAnsi="仿宋_GB2312" w:eastAsia="仿宋_GB2312" w:cs="仿宋_GB2312"/>
          <w:spacing w:val="-2"/>
          <w:kern w:val="0"/>
          <w:sz w:val="28"/>
          <w:szCs w:val="28"/>
        </w:rPr>
        <w:t>股东、董事、高级管理人员应当将联系方式（包括通信地址、电话、电子邮箱等）报公司置备，发生变动的，应及时报公司予以更新。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第七十二条</w:t>
      </w:r>
      <w:r>
        <w:rPr>
          <w:rFonts w:hint="eastAsia" w:ascii="仿宋_GB2312" w:hAnsi="仿宋_GB2312" w:eastAsia="仿宋_GB2312" w:cs="仿宋_GB2312"/>
          <w:spacing w:val="-2"/>
          <w:kern w:val="0"/>
          <w:sz w:val="28"/>
          <w:szCs w:val="28"/>
        </w:rPr>
        <w:t xml:space="preserve"> 公司股东会、董事会召开会议和表决可以采用电子通信方式。</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第七十三条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应当经股东会决议。</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前款规定的股东或者受前款规定的实际控制人支配的股东，不得参加前款规定事项的表决。该项表决由出席会议的其他股东所持表决权的过半数通过。</w:t>
      </w:r>
    </w:p>
    <w:p>
      <w:pPr>
        <w:spacing w:line="48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第七十四条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8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股东签名或盖章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p>
    <w:p>
      <w:pPr>
        <w:spacing w:line="460" w:lineRule="exact"/>
        <w:ind w:firstLine="0" w:firstLineChars="0"/>
        <w:rPr>
          <w:rFonts w:hint="eastAsia" w:ascii="仿宋_GB2312" w:hAnsi="宋体" w:eastAsia="仿宋_GB2312" w:cs="Times New Roman"/>
          <w:i/>
          <w:iCs/>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张</w:t>
      </w:r>
      <w:r>
        <w:rPr>
          <w:rFonts w:hint="eastAsia" w:ascii="仿宋_GB2312" w:hAnsi="宋体" w:eastAsia="仿宋_GB2312" w:cs="Times New Roman"/>
          <w:color w:val="000000" w:themeColor="text1"/>
          <w:sz w:val="28"/>
          <w:szCs w:val="28"/>
          <w:lang w:val="en-US" w:eastAsia="zh-CN"/>
          <w14:textFill>
            <w14:solidFill>
              <w14:schemeClr w14:val="tx1"/>
            </w14:solidFill>
          </w14:textFill>
        </w:rPr>
        <w:t>X</w:t>
      </w:r>
      <w:r>
        <w:rPr>
          <w:rFonts w:hint="eastAsia" w:ascii="仿宋_GB2312" w:hAnsi="宋体" w:eastAsia="仿宋_GB2312" w:cs="Times New Roman"/>
          <w:i w:val="0"/>
          <w:iCs w:val="0"/>
          <w:color w:val="000000" w:themeColor="text1"/>
          <w:sz w:val="28"/>
          <w:szCs w:val="28"/>
          <w:lang w:eastAsia="zh-CN"/>
          <w14:textFill>
            <w14:solidFill>
              <w14:schemeClr w14:val="tx1"/>
            </w14:solidFill>
          </w14:textFill>
        </w:rPr>
        <w:t>（签名</w:t>
      </w:r>
      <w:r>
        <w:rPr>
          <w:rFonts w:hint="eastAsia" w:ascii="仿宋_GB2312" w:hAnsi="宋体" w:eastAsia="仿宋_GB2312" w:cs="Times New Roman"/>
          <w:i w:val="0"/>
          <w:iCs w:val="0"/>
          <w:color w:val="000000" w:themeColor="text1"/>
          <w:sz w:val="28"/>
          <w:szCs w:val="28"/>
          <w:u w:val="none" w:color="FFFFFF"/>
          <w:lang w:eastAsia="zh-CN"/>
          <w14:textFill>
            <w14:solidFill>
              <w14:schemeClr w14:val="tx1"/>
            </w14:solidFill>
          </w14:textFill>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themeColor="text1"/>
          <w:sz w:val="28"/>
          <w:szCs w:val="28"/>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XXX</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公司（签名或盖章</w:t>
      </w:r>
      <w:r>
        <w:rPr>
          <w:rFonts w:hint="eastAsia" w:ascii="仿宋_GB2312" w:hAnsi="宋体" w:eastAsia="仿宋_GB2312" w:cs="Times New Roman"/>
          <w:color w:val="000000" w:themeColor="text1"/>
          <w:sz w:val="28"/>
          <w:szCs w:val="28"/>
          <w:u w:val="none" w:color="FFFFFF"/>
          <w:lang w:val="en-US" w:eastAsia="zh-CN"/>
          <w14:textFill>
            <w14:solidFill>
              <w14:schemeClr w14:val="tx1"/>
            </w14:solidFill>
          </w14:textFill>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000000" w:themeColor="text1"/>
          <w:sz w:val="28"/>
          <w:szCs w:val="28"/>
          <w:u w:val="none" w:color="FFFFFF"/>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法定代表人签</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名</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FF0000"/>
          <w:kern w:val="0"/>
          <w:sz w:val="28"/>
          <w:szCs w:val="28"/>
        </w:rPr>
        <w:t>）</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FF0000"/>
          <w:sz w:val="28"/>
          <w:szCs w:val="28"/>
        </w:rPr>
      </w:pPr>
      <w:r>
        <w:rPr>
          <w:rFonts w:hint="eastAsia" w:ascii="仿宋_GB2312" w:hAnsi="Calibri" w:eastAsia="仿宋_GB2312" w:cs="仿宋_GB2312"/>
          <w:b/>
          <w:color w:val="FF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rPr>
      </w:pPr>
      <w:r>
        <w:rPr>
          <w:rFonts w:hint="eastAsia" w:ascii="仿宋_GB2312" w:hAnsi="Calibri" w:eastAsia="仿宋_GB2312" w:cs="仿宋_GB2312"/>
          <w:b/>
          <w:color w:val="FF0000"/>
          <w:szCs w:val="21"/>
        </w:rPr>
        <w:t>注：</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rPr>
      </w:pPr>
      <w:r>
        <w:rPr>
          <w:rFonts w:hint="eastAsia" w:ascii="仿宋_GB2312" w:hAnsi="Calibri" w:eastAsia="仿宋_GB2312" w:cs="仿宋_GB2312"/>
          <w:color w:val="FF0000"/>
          <w:szCs w:val="21"/>
          <w:lang w:val="en-US" w:eastAsia="zh-CN"/>
        </w:rPr>
        <w:t>2</w:t>
      </w:r>
      <w:r>
        <w:rPr>
          <w:rFonts w:hint="default" w:ascii="仿宋_GB2312" w:hAnsi="Calibri" w:eastAsia="仿宋_GB2312" w:cs="仿宋_GB2312"/>
          <w:color w:val="FF0000"/>
          <w:szCs w:val="21"/>
          <w:lang w:val="en-US" w:eastAsia="zh-CN"/>
        </w:rPr>
        <w:t>.</w:t>
      </w:r>
      <w:r>
        <w:rPr>
          <w:rFonts w:hint="eastAsia" w:ascii="仿宋_GB2312" w:hAnsi="Calibri" w:eastAsia="仿宋_GB2312" w:cs="仿宋_GB2312"/>
          <w:color w:val="FF0000"/>
          <w:szCs w:val="21"/>
          <w:lang w:eastAsia="zh-CN"/>
        </w:rPr>
        <w:t>本范本仅供参考，</w:t>
      </w:r>
      <w:r>
        <w:rPr>
          <w:rFonts w:hint="eastAsia" w:ascii="仿宋_GB2312" w:hAnsi="仿宋_GB2312" w:eastAsia="仿宋_GB2312" w:cs="仿宋_GB2312"/>
          <w:color w:val="FF0000"/>
          <w:szCs w:val="21"/>
        </w:rPr>
        <w:t>制作章程时，</w:t>
      </w:r>
      <w:r>
        <w:rPr>
          <w:rFonts w:hint="eastAsia" w:ascii="仿宋_GB2312" w:hAnsi="仿宋_GB2312" w:eastAsia="仿宋_GB2312" w:cs="仿宋_GB2312"/>
          <w:color w:val="FF0000"/>
          <w:szCs w:val="21"/>
          <w:lang w:eastAsia="zh-CN"/>
        </w:rPr>
        <w:t>应结合实际情况</w:t>
      </w:r>
      <w:r>
        <w:rPr>
          <w:rFonts w:hint="eastAsia" w:ascii="仿宋_GB2312" w:hAnsi="仿宋_GB2312" w:eastAsia="仿宋_GB2312" w:cs="仿宋_GB2312"/>
          <w:color w:val="FF0000"/>
          <w:szCs w:val="21"/>
        </w:rPr>
        <w:t>根据本范本中“注”及红色字体的内容修改相关条款，并应当删除“注”及红色字体的内容。</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 w:val="24"/>
          <w:szCs w:val="24"/>
        </w:rPr>
      </w:pPr>
      <w:r>
        <w:rPr>
          <w:rFonts w:hint="eastAsia" w:ascii="仿宋_GB2312" w:hAnsi="Calibri" w:eastAsia="仿宋_GB2312" w:cs="仿宋_GB2312"/>
          <w:color w:val="FF0000"/>
          <w:szCs w:val="21"/>
        </w:rPr>
        <w:t>有限责任公司设立</w:t>
      </w:r>
      <w:r>
        <w:rPr>
          <w:rFonts w:hint="eastAsia" w:ascii="仿宋_GB2312" w:hAnsi="Calibri" w:eastAsia="仿宋_GB2312" w:cs="仿宋_GB2312"/>
          <w:color w:val="FF0000"/>
          <w:szCs w:val="21"/>
          <w:lang w:eastAsia="zh-CN"/>
        </w:rPr>
        <w:t>登记的，</w:t>
      </w:r>
      <w:r>
        <w:rPr>
          <w:rFonts w:hint="eastAsia" w:ascii="仿宋_GB2312" w:hAnsi="Calibri" w:eastAsia="仿宋_GB2312" w:cs="仿宋_GB2312"/>
          <w:color w:val="FF0000"/>
          <w:szCs w:val="21"/>
        </w:rPr>
        <w:t>章程由股东签署</w:t>
      </w:r>
      <w:r>
        <w:rPr>
          <w:rFonts w:hint="eastAsia" w:ascii="仿宋_GB2312" w:hAnsi="Calibri" w:eastAsia="仿宋_GB2312" w:cs="仿宋_GB2312"/>
          <w:color w:val="FF0000"/>
          <w:szCs w:val="21"/>
          <w:lang w:val="en-US" w:eastAsia="zh-CN"/>
        </w:rPr>
        <w:t>。</w:t>
      </w:r>
      <w:r>
        <w:rPr>
          <w:rFonts w:hint="eastAsia" w:ascii="仿宋_GB2312" w:hAnsi="仿宋_GB2312" w:eastAsia="仿宋_GB2312" w:cs="仿宋_GB2312"/>
          <w:bCs/>
          <w:color w:val="FF0000"/>
        </w:rPr>
        <w:t>股东为自然人的，由</w:t>
      </w:r>
      <w:r>
        <w:rPr>
          <w:rFonts w:hint="eastAsia" w:ascii="仿宋_GB2312" w:hAnsi="仿宋_GB2312" w:eastAsia="仿宋_GB2312" w:cs="仿宋_GB2312"/>
          <w:bCs/>
          <w:color w:val="FF0000"/>
          <w:lang w:eastAsia="zh-CN"/>
        </w:rPr>
        <w:t>本人</w:t>
      </w:r>
      <w:r>
        <w:rPr>
          <w:rFonts w:hint="eastAsia" w:ascii="仿宋_GB2312" w:hAnsi="仿宋_GB2312" w:eastAsia="仿宋_GB2312" w:cs="仿宋_GB2312"/>
          <w:bCs/>
          <w:color w:val="FF0000"/>
        </w:rPr>
        <w:t>签名；股</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rightChars="0" w:firstLine="210" w:firstLineChars="100"/>
        <w:rPr>
          <w:rFonts w:hint="eastAsia" w:ascii="仿宋_GB2312" w:hAnsi="仿宋_GB2312" w:eastAsia="仿宋_GB2312" w:cs="仿宋_GB2312"/>
          <w:bCs/>
          <w:color w:val="FF0000"/>
          <w:sz w:val="21"/>
          <w:szCs w:val="21"/>
        </w:rPr>
      </w:pPr>
      <w:r>
        <w:rPr>
          <w:rFonts w:hint="eastAsia" w:ascii="仿宋_GB2312" w:hAnsi="仿宋_GB2312" w:eastAsia="仿宋_GB2312" w:cs="仿宋_GB2312"/>
          <w:bCs/>
          <w:color w:val="FF0000"/>
        </w:rPr>
        <w:t>东为法人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组织</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的，由法定代表人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负责人</w:t>
      </w:r>
      <w:r>
        <w:rPr>
          <w:rFonts w:hint="eastAsia" w:ascii="仿宋_GB2312" w:hAnsi="仿宋_GB2312" w:eastAsia="仿宋_GB2312" w:cs="仿宋_GB2312"/>
          <w:bCs/>
          <w:color w:val="FF0000"/>
          <w:lang w:eastAsia="zh-CN"/>
        </w:rPr>
        <w:t>或有权签字人签名</w:t>
      </w:r>
      <w:r>
        <w:rPr>
          <w:rFonts w:hint="eastAsia" w:ascii="仿宋_GB2312" w:hAnsi="仿宋_GB2312" w:eastAsia="仿宋_GB2312" w:cs="仿宋_GB2312"/>
          <w:bCs/>
          <w:color w:val="FF0000"/>
          <w:sz w:val="21"/>
          <w:szCs w:val="21"/>
          <w:lang w:eastAsia="zh-CN"/>
        </w:rPr>
        <w:t>，或</w:t>
      </w:r>
      <w:r>
        <w:rPr>
          <w:rFonts w:hint="eastAsia" w:ascii="仿宋_GB2312" w:hAnsi="仿宋_GB2312" w:eastAsia="仿宋_GB2312" w:cs="仿宋_GB2312"/>
          <w:bCs/>
          <w:color w:val="FF0000"/>
          <w:sz w:val="21"/>
          <w:szCs w:val="21"/>
        </w:rPr>
        <w:t>盖法人（组</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 w:val="21"/>
          <w:szCs w:val="21"/>
          <w:highlight w:val="none"/>
          <w:lang w:eastAsia="zh-CN"/>
        </w:rPr>
      </w:pPr>
      <w:r>
        <w:rPr>
          <w:rFonts w:hint="eastAsia" w:ascii="仿宋_GB2312" w:hAnsi="仿宋_GB2312" w:eastAsia="仿宋_GB2312" w:cs="仿宋_GB2312"/>
          <w:bCs/>
          <w:color w:val="FF0000"/>
          <w:sz w:val="21"/>
          <w:szCs w:val="21"/>
        </w:rPr>
        <w:t>织）</w:t>
      </w:r>
      <w:r>
        <w:rPr>
          <w:rFonts w:hint="eastAsia" w:ascii="仿宋_GB2312" w:hAnsi="仿宋_GB2312" w:eastAsia="仿宋_GB2312" w:cs="仿宋_GB2312"/>
          <w:bCs/>
          <w:color w:val="FF0000"/>
          <w:sz w:val="21"/>
          <w:szCs w:val="21"/>
          <w:lang w:eastAsia="zh-CN"/>
        </w:rPr>
        <w:t>的</w:t>
      </w:r>
      <w:r>
        <w:rPr>
          <w:rFonts w:hint="eastAsia" w:ascii="仿宋_GB2312" w:hAnsi="仿宋_GB2312" w:eastAsia="仿宋_GB2312" w:cs="仿宋_GB2312"/>
          <w:bCs/>
          <w:color w:val="FF0000"/>
          <w:sz w:val="21"/>
          <w:szCs w:val="21"/>
        </w:rPr>
        <w:t>公章</w:t>
      </w:r>
      <w:r>
        <w:rPr>
          <w:rFonts w:hint="eastAsia" w:ascii="仿宋_GB2312" w:hAnsi="仿宋_GB2312" w:eastAsia="仿宋_GB2312" w:cs="仿宋_GB2312"/>
          <w:bCs/>
          <w:color w:val="FF0000"/>
          <w:sz w:val="21"/>
          <w:szCs w:val="21"/>
          <w:lang w:eastAsia="zh-CN"/>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有限责任公司变更登记或备案涉及公司章程修改的，修改后的公司章程由公司法</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确认。同时变更法定代表人的，由新法定代表人签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rPr>
      </w:pPr>
      <w:r>
        <w:rPr>
          <w:rFonts w:hint="eastAsia" w:ascii="仿宋_GB2312" w:hAnsi="Calibri" w:eastAsia="仿宋_GB2312" w:cs="仿宋_GB2312"/>
          <w:color w:val="FF0000"/>
          <w:szCs w:val="21"/>
        </w:rPr>
        <w:t>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应当和正文在同一页，如不在同一页，请注明签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页内容，例如“XX公司XX</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年XX月XX日订立的章程签</w:t>
      </w:r>
      <w:r>
        <w:rPr>
          <w:rFonts w:hint="eastAsia" w:ascii="仿宋_GB2312" w:hAnsi="Calibri" w:eastAsia="仿宋_GB2312" w:cs="仿宋_GB2312"/>
          <w:color w:val="FF0000"/>
          <w:szCs w:val="21"/>
          <w:lang w:eastAsia="zh-CN"/>
        </w:rPr>
        <w:t>署页</w:t>
      </w:r>
      <w:r>
        <w:rPr>
          <w:rFonts w:hint="eastAsia" w:ascii="仿宋_GB2312" w:hAnsi="Calibri" w:eastAsia="仿宋_GB2312" w:cs="仿宋_GB2312"/>
          <w:color w:val="FF0000"/>
          <w:szCs w:val="21"/>
        </w:rPr>
        <w:t>”。如为变更或备案登记的，也可加盖骑缝章确认。</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spacing w:line="480" w:lineRule="exact"/>
        <w:ind w:firstLine="0" w:firstLineChars="0"/>
        <w:rPr>
          <w:rFonts w:ascii="仿宋_GB2312" w:hAnsi="仿宋_GB2312" w:eastAsia="仿宋_GB2312" w:cs="仿宋_GB2312"/>
          <w:color w:val="FF0000"/>
          <w:kern w:val="0"/>
          <w:sz w:val="28"/>
          <w:szCs w:val="28"/>
        </w:rPr>
      </w:pPr>
      <w:bookmarkStart w:id="0" w:name="_GoBack"/>
      <w:bookmarkEnd w:id="0"/>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9D90C5F"/>
    <w:multiLevelType w:val="singleLevel"/>
    <w:tmpl w:val="F9D90C5F"/>
    <w:lvl w:ilvl="0" w:tentative="0">
      <w:start w:val="3"/>
      <w:numFmt w:val="decimal"/>
      <w:suff w:val="nothing"/>
      <w:lvlText w:val="（%1）"/>
      <w:lvlJc w:val="left"/>
    </w:lvl>
  </w:abstractNum>
  <w:abstractNum w:abstractNumId="2">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 w:name="KSO_WPS_MARK_KEY" w:val="7e0968af-cfc8-4142-9bc7-8b16e77507d5"/>
  </w:docVars>
  <w:rsids>
    <w:rsidRoot w:val="00172A27"/>
    <w:rsid w:val="00172A27"/>
    <w:rsid w:val="001A5039"/>
    <w:rsid w:val="003C274A"/>
    <w:rsid w:val="004860B4"/>
    <w:rsid w:val="00613D84"/>
    <w:rsid w:val="006610F4"/>
    <w:rsid w:val="007805BF"/>
    <w:rsid w:val="007A09A2"/>
    <w:rsid w:val="008007C5"/>
    <w:rsid w:val="00822F62"/>
    <w:rsid w:val="00850637"/>
    <w:rsid w:val="008F1902"/>
    <w:rsid w:val="009C0BB5"/>
    <w:rsid w:val="00B34C24"/>
    <w:rsid w:val="00B65C17"/>
    <w:rsid w:val="00BC7B61"/>
    <w:rsid w:val="00C1379B"/>
    <w:rsid w:val="00C41137"/>
    <w:rsid w:val="00D27C86"/>
    <w:rsid w:val="00E959FA"/>
    <w:rsid w:val="00F2321E"/>
    <w:rsid w:val="00F80413"/>
    <w:rsid w:val="01664481"/>
    <w:rsid w:val="01AB455E"/>
    <w:rsid w:val="02471A55"/>
    <w:rsid w:val="029F3DD0"/>
    <w:rsid w:val="031545B7"/>
    <w:rsid w:val="039C06B4"/>
    <w:rsid w:val="03C93C6F"/>
    <w:rsid w:val="03E85328"/>
    <w:rsid w:val="03F4380B"/>
    <w:rsid w:val="04861B0C"/>
    <w:rsid w:val="05F2584F"/>
    <w:rsid w:val="06396F66"/>
    <w:rsid w:val="074B1B9F"/>
    <w:rsid w:val="080C49FD"/>
    <w:rsid w:val="081B47D7"/>
    <w:rsid w:val="08A67CCE"/>
    <w:rsid w:val="08B20C06"/>
    <w:rsid w:val="09E53CE4"/>
    <w:rsid w:val="0BC3307A"/>
    <w:rsid w:val="0CFC2FB8"/>
    <w:rsid w:val="0D4A573F"/>
    <w:rsid w:val="0D5E4415"/>
    <w:rsid w:val="0DA9591E"/>
    <w:rsid w:val="0DAF47BB"/>
    <w:rsid w:val="0E220FE6"/>
    <w:rsid w:val="0F6451B1"/>
    <w:rsid w:val="0F841BAC"/>
    <w:rsid w:val="0F993EC8"/>
    <w:rsid w:val="11BA3C4A"/>
    <w:rsid w:val="11DD7ADE"/>
    <w:rsid w:val="13E15C2A"/>
    <w:rsid w:val="140D69C0"/>
    <w:rsid w:val="14C12F5A"/>
    <w:rsid w:val="170DC815"/>
    <w:rsid w:val="18134FFE"/>
    <w:rsid w:val="18303A2F"/>
    <w:rsid w:val="183B2E7A"/>
    <w:rsid w:val="188574F2"/>
    <w:rsid w:val="18B057F1"/>
    <w:rsid w:val="191A76B9"/>
    <w:rsid w:val="19B945C5"/>
    <w:rsid w:val="19BA704F"/>
    <w:rsid w:val="19FD12C3"/>
    <w:rsid w:val="1A5877A5"/>
    <w:rsid w:val="1B537F21"/>
    <w:rsid w:val="1C264FE1"/>
    <w:rsid w:val="1D7F1C04"/>
    <w:rsid w:val="1E3A24E0"/>
    <w:rsid w:val="1EA81A3C"/>
    <w:rsid w:val="2162300D"/>
    <w:rsid w:val="21B76FD5"/>
    <w:rsid w:val="21F87D83"/>
    <w:rsid w:val="228A47AB"/>
    <w:rsid w:val="23205AE3"/>
    <w:rsid w:val="234F7AFB"/>
    <w:rsid w:val="248D0808"/>
    <w:rsid w:val="24AB0691"/>
    <w:rsid w:val="27622C6E"/>
    <w:rsid w:val="277F16AE"/>
    <w:rsid w:val="279A25EB"/>
    <w:rsid w:val="279F4EB7"/>
    <w:rsid w:val="27BF02F5"/>
    <w:rsid w:val="281E47FE"/>
    <w:rsid w:val="28E9046A"/>
    <w:rsid w:val="29536324"/>
    <w:rsid w:val="29CE38A2"/>
    <w:rsid w:val="2AF17197"/>
    <w:rsid w:val="2B541DC2"/>
    <w:rsid w:val="2B9D3E9D"/>
    <w:rsid w:val="2C063DE0"/>
    <w:rsid w:val="2D383F15"/>
    <w:rsid w:val="2DAE426C"/>
    <w:rsid w:val="2DE3352A"/>
    <w:rsid w:val="2E210DA6"/>
    <w:rsid w:val="2E354A5B"/>
    <w:rsid w:val="2E396CE5"/>
    <w:rsid w:val="30412871"/>
    <w:rsid w:val="308048E4"/>
    <w:rsid w:val="31D80C0B"/>
    <w:rsid w:val="327A1219"/>
    <w:rsid w:val="33733C4C"/>
    <w:rsid w:val="33B828D3"/>
    <w:rsid w:val="36203A6B"/>
    <w:rsid w:val="36AD5875"/>
    <w:rsid w:val="36E249FF"/>
    <w:rsid w:val="37036908"/>
    <w:rsid w:val="377C4B83"/>
    <w:rsid w:val="37C13D08"/>
    <w:rsid w:val="392E009A"/>
    <w:rsid w:val="3AB94045"/>
    <w:rsid w:val="3BBB508F"/>
    <w:rsid w:val="3C370BA9"/>
    <w:rsid w:val="3C3B0E56"/>
    <w:rsid w:val="3C3F2C7F"/>
    <w:rsid w:val="3DC75867"/>
    <w:rsid w:val="3EF21320"/>
    <w:rsid w:val="403E2861"/>
    <w:rsid w:val="40DC56BC"/>
    <w:rsid w:val="40E82139"/>
    <w:rsid w:val="42C52EFE"/>
    <w:rsid w:val="42CC3426"/>
    <w:rsid w:val="43853221"/>
    <w:rsid w:val="445B78F2"/>
    <w:rsid w:val="44C77313"/>
    <w:rsid w:val="44F50EE0"/>
    <w:rsid w:val="4521395A"/>
    <w:rsid w:val="4587329F"/>
    <w:rsid w:val="482E65EF"/>
    <w:rsid w:val="48BA3564"/>
    <w:rsid w:val="490B63E4"/>
    <w:rsid w:val="49A93F69"/>
    <w:rsid w:val="49C42657"/>
    <w:rsid w:val="49D60836"/>
    <w:rsid w:val="4A432B3B"/>
    <w:rsid w:val="4A7E14E9"/>
    <w:rsid w:val="4C9723D7"/>
    <w:rsid w:val="4DE44058"/>
    <w:rsid w:val="4E7D0D54"/>
    <w:rsid w:val="4E8529AC"/>
    <w:rsid w:val="4EFB79A0"/>
    <w:rsid w:val="4F4B13CD"/>
    <w:rsid w:val="504E31CD"/>
    <w:rsid w:val="5054095A"/>
    <w:rsid w:val="50943942"/>
    <w:rsid w:val="514349DF"/>
    <w:rsid w:val="5147064F"/>
    <w:rsid w:val="51DD1E63"/>
    <w:rsid w:val="51EA15F7"/>
    <w:rsid w:val="52A1104A"/>
    <w:rsid w:val="52C85D14"/>
    <w:rsid w:val="545804DE"/>
    <w:rsid w:val="54F2015E"/>
    <w:rsid w:val="54FE74F6"/>
    <w:rsid w:val="55CB57DD"/>
    <w:rsid w:val="56D56C11"/>
    <w:rsid w:val="58B23912"/>
    <w:rsid w:val="592C1AD3"/>
    <w:rsid w:val="5AE4080F"/>
    <w:rsid w:val="5B8754EA"/>
    <w:rsid w:val="5C83476E"/>
    <w:rsid w:val="5CDF60C1"/>
    <w:rsid w:val="5D1256CE"/>
    <w:rsid w:val="5DD52936"/>
    <w:rsid w:val="5DD60632"/>
    <w:rsid w:val="5DDD7948"/>
    <w:rsid w:val="5E616535"/>
    <w:rsid w:val="5F7D6C03"/>
    <w:rsid w:val="5F7F2659"/>
    <w:rsid w:val="604265FC"/>
    <w:rsid w:val="60952803"/>
    <w:rsid w:val="61165980"/>
    <w:rsid w:val="614C4BDC"/>
    <w:rsid w:val="624946EA"/>
    <w:rsid w:val="626A1485"/>
    <w:rsid w:val="63526B9C"/>
    <w:rsid w:val="63545FED"/>
    <w:rsid w:val="637D61C4"/>
    <w:rsid w:val="63FB1A3C"/>
    <w:rsid w:val="649E2AAB"/>
    <w:rsid w:val="651F0E1A"/>
    <w:rsid w:val="65531619"/>
    <w:rsid w:val="656F4A94"/>
    <w:rsid w:val="66192E8F"/>
    <w:rsid w:val="663B3E56"/>
    <w:rsid w:val="67515045"/>
    <w:rsid w:val="67D34A52"/>
    <w:rsid w:val="67FF7639"/>
    <w:rsid w:val="687E076E"/>
    <w:rsid w:val="68D902E4"/>
    <w:rsid w:val="69667737"/>
    <w:rsid w:val="6A521CFD"/>
    <w:rsid w:val="6A9242F2"/>
    <w:rsid w:val="6ABF6769"/>
    <w:rsid w:val="6C325F72"/>
    <w:rsid w:val="6C5771D1"/>
    <w:rsid w:val="6CAE465D"/>
    <w:rsid w:val="6E1312A6"/>
    <w:rsid w:val="6EAA50A8"/>
    <w:rsid w:val="6F136CDD"/>
    <w:rsid w:val="6F3E0FD8"/>
    <w:rsid w:val="6F9455FA"/>
    <w:rsid w:val="70395A27"/>
    <w:rsid w:val="70704008"/>
    <w:rsid w:val="709935E0"/>
    <w:rsid w:val="70A80893"/>
    <w:rsid w:val="71494950"/>
    <w:rsid w:val="71B21F24"/>
    <w:rsid w:val="72B616BF"/>
    <w:rsid w:val="73526C7F"/>
    <w:rsid w:val="741F67B1"/>
    <w:rsid w:val="746043A0"/>
    <w:rsid w:val="76711435"/>
    <w:rsid w:val="77343ACF"/>
    <w:rsid w:val="773A3FE0"/>
    <w:rsid w:val="78866591"/>
    <w:rsid w:val="79BFB827"/>
    <w:rsid w:val="7A600FB1"/>
    <w:rsid w:val="7A6B15C4"/>
    <w:rsid w:val="7AA9664C"/>
    <w:rsid w:val="7ADFC694"/>
    <w:rsid w:val="7B4B7C4C"/>
    <w:rsid w:val="7B5A0D3F"/>
    <w:rsid w:val="7BAE5379"/>
    <w:rsid w:val="7BBA10AF"/>
    <w:rsid w:val="7C9C658A"/>
    <w:rsid w:val="7D3F4C08"/>
    <w:rsid w:val="7DEE23BB"/>
    <w:rsid w:val="7DEF60A9"/>
    <w:rsid w:val="7E0E4770"/>
    <w:rsid w:val="7E7216EF"/>
    <w:rsid w:val="7EB34044"/>
    <w:rsid w:val="AEBF5AFE"/>
    <w:rsid w:val="C7F1ECE4"/>
    <w:rsid w:val="CEA5B7DB"/>
    <w:rsid w:val="DA7DC1DD"/>
    <w:rsid w:val="E9DD9333"/>
    <w:rsid w:val="EBFB7F30"/>
    <w:rsid w:val="ECB62A9B"/>
    <w:rsid w:val="F6FFB1AE"/>
    <w:rsid w:val="FBEFD377"/>
    <w:rsid w:val="FD9DD92A"/>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0"/>
    <w:rPr>
      <w:rFonts w:asciiTheme="minorHAnsi" w:hAnsiTheme="minorHAnsi" w:eastAsiaTheme="minorEastAsia" w:cstheme="minorBidi"/>
      <w:kern w:val="2"/>
      <w:sz w:val="18"/>
      <w:szCs w:val="18"/>
    </w:rPr>
  </w:style>
  <w:style w:type="character" w:customStyle="1" w:styleId="13">
    <w:name w:val="页脚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9811</Words>
  <Characters>9882</Characters>
  <Lines>87</Lines>
  <Paragraphs>24</Paragraphs>
  <TotalTime>0</TotalTime>
  <ScaleCrop>false</ScaleCrop>
  <LinksUpToDate>false</LinksUpToDate>
  <CharactersWithSpaces>10562</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2024-06-28T04:31:00Z</dcterms:created>
  <dc:creator>鱼朵朵</dc:creator>
  <cp:lastModifiedBy>user</cp:lastModifiedBy>
  <dcterms:modified xsi:type="dcterms:W3CDTF">2026-04-25T17:08:01Z</dcterms:modified>
  <dc:title>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1D295202C7C344F8A8D0BD972D9F7628_13</vt:lpwstr>
  </property>
  <property fmtid="{D5CDD505-2E9C-101B-9397-08002B2CF9AE}" pid="4" name="KSOTemplateDocerSaveRecord">
    <vt:lpwstr>eyJoZGlkIjoiZTZlYjhhOGE3Y2QxMWExNWQyZDI2ZjVmM2ZkNGI1ZDkiLCJ1c2VySWQiOiI1ODUzNzkyNTQifQ==</vt:lpwstr>
  </property>
</Properties>
</file>