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color w:val="000000"/>
          <w:sz w:val="24"/>
        </w:rPr>
      </w:pPr>
      <w:r>
        <w:rPr>
          <w:rFonts w:hint="eastAsia" w:ascii="宋体" w:hAnsi="宋体"/>
          <w:b/>
          <w:color w:val="000000"/>
          <w:sz w:val="24"/>
        </w:rPr>
        <w:t>股份有限公司情形8：发起设立，2-200个股东，设董事会、监事1人、经理</w:t>
      </w:r>
    </w:p>
    <w:p>
      <w:pPr>
        <w:spacing w:line="360" w:lineRule="auto"/>
        <w:rPr>
          <w:rFonts w:ascii="宋体" w:hAnsi="宋体"/>
          <w:b/>
          <w:color w:val="000000"/>
          <w:sz w:val="24"/>
        </w:rPr>
      </w:pPr>
      <w:r>
        <w:rPr>
          <w:rFonts w:hint="eastAsia" w:ascii="宋体" w:hAnsi="宋体" w:cs="宋体"/>
          <w:b/>
          <w:color w:val="FF0000"/>
          <w:sz w:val="24"/>
        </w:rPr>
        <w:t>（注：为便于工作人员审查，本条无需删除。）</w:t>
      </w:r>
    </w:p>
    <w:p>
      <w:pPr>
        <w:jc w:val="center"/>
        <w:rPr>
          <w:rFonts w:hint="eastAsia" w:ascii="宋体" w:hAnsi="宋体"/>
          <w:b/>
          <w:color w:val="FF0000"/>
          <w:sz w:val="24"/>
          <w:szCs w:val="24"/>
        </w:rPr>
      </w:pPr>
    </w:p>
    <w:p>
      <w:pPr>
        <w:jc w:val="center"/>
        <w:rPr>
          <w:rFonts w:hint="eastAsia"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股份有限公司章程</w:t>
      </w:r>
    </w:p>
    <w:p>
      <w:pPr>
        <w:jc w:val="left"/>
        <w:rPr>
          <w:rFonts w:ascii="宋体"/>
          <w:sz w:val="32"/>
          <w:szCs w:val="32"/>
        </w:rPr>
      </w:pPr>
    </w:p>
    <w:p>
      <w:pPr>
        <w:spacing w:line="49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w:t>
      </w:r>
      <w:r>
        <w:rPr>
          <w:rFonts w:hint="eastAsia" w:ascii="仿宋_GB2312" w:hAnsi="仿宋_GB2312" w:eastAsia="仿宋_GB2312" w:cs="仿宋_GB2312"/>
          <w:sz w:val="28"/>
          <w:szCs w:val="28"/>
        </w:rPr>
        <w:t>股份有限公司</w:t>
      </w:r>
      <w:r>
        <w:rPr>
          <w:rFonts w:hint="eastAsia" w:ascii="仿宋_GB2312" w:hAnsi="仿宋_GB2312" w:eastAsia="仿宋_GB2312" w:cs="仿宋_GB2312"/>
          <w:spacing w:val="-2"/>
          <w:kern w:val="0"/>
          <w:sz w:val="28"/>
          <w:szCs w:val="28"/>
        </w:rPr>
        <w:t>。</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90" w:lineRule="exact"/>
        <w:ind w:firstLine="560" w:firstLineChars="200"/>
        <w:jc w:val="left"/>
        <w:rPr>
          <w:rFonts w:hint="eastAsia" w:ascii="仿宋_GB2312" w:hAnsi="仿宋_GB2312" w:eastAsia="仿宋_GB2312" w:cs="仿宋_GB2312"/>
          <w:sz w:val="28"/>
          <w:szCs w:val="28"/>
        </w:rPr>
      </w:pPr>
    </w:p>
    <w:p>
      <w:pPr>
        <w:spacing w:line="490" w:lineRule="exact"/>
        <w:jc w:val="center"/>
        <w:rPr>
          <w:rFonts w:hint="eastAsia"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spacing w:line="49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spacing w:line="49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spacing w:line="49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90" w:lineRule="exact"/>
        <w:ind w:firstLine="552" w:firstLineChars="200"/>
        <w:rPr>
          <w:rFonts w:hint="eastAsia"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90" w:lineRule="exact"/>
        <w:ind w:left="10" w:firstLine="543" w:firstLineChars="196"/>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90" w:lineRule="exact"/>
        <w:ind w:firstLine="624"/>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widowControl/>
        <w:spacing w:line="490" w:lineRule="exact"/>
        <w:ind w:firstLine="562"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r>
        <w:rPr>
          <w:rFonts w:hint="eastAsia" w:ascii="仿宋_GB2312" w:hAnsi="仿宋_GB2312" w:eastAsia="仿宋_GB2312" w:cs="仿宋_GB2312"/>
          <w:kern w:val="0"/>
          <w:sz w:val="28"/>
          <w:szCs w:val="28"/>
        </w:rPr>
        <w:t xml:space="preserve">公司股份总数为 </w:t>
      </w:r>
      <w:r>
        <w:rPr>
          <w:rFonts w:hint="eastAsia" w:ascii="仿宋_GB2312" w:hAnsi="仿宋_GB2312" w:eastAsia="仿宋_GB2312" w:cs="仿宋_GB2312"/>
          <w:spacing w:val="-2"/>
          <w:kern w:val="0"/>
          <w:sz w:val="28"/>
          <w:szCs w:val="28"/>
          <w:u w:val="single"/>
          <w:lang w:val="en"/>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z w:val="28"/>
          <w:szCs w:val="28"/>
          <w:lang w:val="en"/>
        </w:rPr>
        <w:t>万</w:t>
      </w:r>
      <w:r>
        <w:rPr>
          <w:rFonts w:hint="eastAsia" w:ascii="仿宋_GB2312" w:hAnsi="仿宋_GB2312" w:eastAsia="仿宋_GB2312" w:cs="仿宋_GB2312"/>
          <w:kern w:val="0"/>
          <w:sz w:val="28"/>
          <w:szCs w:val="28"/>
        </w:rPr>
        <w:t>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3.发行类别股的公司，应当在公司章程中载明以下事项，并修改本条：</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（一）类别股分配利润或者剩余财产的顺序；</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（二）类别股的表决权数；</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（三）类别股的转让限制；</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（四）保护中小股东权益的措施；</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（五）股东会认为需要规定的其他事项。</w:t>
      </w:r>
    </w:p>
    <w:p>
      <w:pPr>
        <w:spacing w:line="460" w:lineRule="exact"/>
        <w:ind w:firstLine="560" w:firstLineChars="200"/>
        <w:rPr>
          <w:rFonts w:ascii="仿宋_GB2312" w:hAnsi="仿宋_GB2312" w:eastAsia="仿宋_GB2312" w:cs="仿宋_GB2312"/>
          <w:iCs/>
          <w:color w:val="FF0000"/>
          <w:sz w:val="28"/>
          <w:szCs w:val="28"/>
        </w:rPr>
      </w:pPr>
      <w:r>
        <w:rPr>
          <w:rFonts w:ascii="仿宋_GB2312" w:hAnsi="仿宋_GB2312" w:eastAsia="仿宋_GB2312" w:cs="仿宋_GB2312"/>
          <w:iCs/>
          <w:color w:val="FF0000"/>
          <w:sz w:val="28"/>
          <w:szCs w:val="28"/>
        </w:rPr>
        <w:t>其他涉及类别股有特别规定的条款请相应修改。</w:t>
      </w:r>
    </w:p>
    <w:p>
      <w:pPr>
        <w:spacing w:line="49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4.股份有限公司的注册资本为在公司登记机关登记的已发行股份的股本总额。）</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90" w:lineRule="exact"/>
        <w:ind w:firstLine="560" w:firstLineChars="200"/>
        <w:rPr>
          <w:rFonts w:hint="eastAsia" w:eastAsia="仿宋_GB2312"/>
          <w:sz w:val="28"/>
          <w:szCs w:val="28"/>
        </w:rPr>
      </w:pPr>
      <w:r>
        <w:rPr>
          <w:rFonts w:ascii="仿宋_GB2312" w:hAnsi="仿宋_GB2312" w:eastAsia="仿宋_GB2312"/>
          <w:sz w:val="28"/>
          <w:szCs w:val="28"/>
        </w:rPr>
        <w:t>股份有限公司为增加注册资本发行新股时，股东不享有优先认购权，股东会决议决定股东享有优先认购权的除外。</w:t>
      </w:r>
    </w:p>
    <w:p>
      <w:pPr>
        <w:spacing w:line="490" w:lineRule="exact"/>
        <w:jc w:val="lef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（注：可以约定按照其他方式认缴新增注册资本，可以约定</w:t>
      </w:r>
      <w:r>
        <w:rPr>
          <w:rFonts w:ascii="仿宋_GB2312" w:hAnsi="仿宋_GB2312" w:eastAsia="仿宋_GB2312"/>
          <w:color w:val="FF0000"/>
          <w:sz w:val="28"/>
          <w:szCs w:val="28"/>
        </w:rPr>
        <w:t>股东享有优先认购权</w:t>
      </w:r>
      <w:r>
        <w:rPr>
          <w:rFonts w:hint="eastAsia" w:ascii="仿宋_GB2312" w:hAnsi="仿宋_GB2312" w:eastAsia="仿宋_GB2312"/>
          <w:color w:val="FF0000"/>
          <w:sz w:val="28"/>
          <w:szCs w:val="28"/>
        </w:rPr>
        <w:t>，</w:t>
      </w:r>
      <w:r>
        <w:rPr>
          <w:rFonts w:hint="eastAsia" w:ascii="仿宋_GB2312" w:hAnsi="仿宋_GB2312" w:eastAsia="仿宋_GB2312" w:cs="仿宋_GB2312"/>
          <w:iCs/>
          <w:color w:val="FF0000"/>
          <w:sz w:val="28"/>
          <w:szCs w:val="28"/>
        </w:rPr>
        <w:t>并修改本款。）</w:t>
      </w:r>
    </w:p>
    <w:p>
      <w:pPr>
        <w:spacing w:line="49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公司减少注册资本时，应当按照股东</w:t>
      </w:r>
      <w:r>
        <w:rPr>
          <w:rFonts w:ascii="仿宋_GB2312" w:hAnsi="仿宋_GB2312" w:eastAsia="仿宋_GB2312"/>
          <w:sz w:val="28"/>
          <w:szCs w:val="28"/>
        </w:rPr>
        <w:t>持有股份的比例相应减少股份</w:t>
      </w:r>
      <w:r>
        <w:rPr>
          <w:rFonts w:hint="eastAsia" w:ascii="仿宋_GB2312" w:hAnsi="仿宋_GB2312" w:eastAsia="仿宋_GB2312"/>
          <w:sz w:val="28"/>
          <w:szCs w:val="28"/>
        </w:rPr>
        <w:t>，法律另有规定</w:t>
      </w:r>
      <w:r>
        <w:rPr>
          <w:rFonts w:ascii="仿宋_GB2312" w:hAnsi="仿宋_GB2312" w:eastAsia="仿宋_GB2312"/>
          <w:sz w:val="28"/>
          <w:szCs w:val="28"/>
        </w:rPr>
        <w:t>的</w:t>
      </w:r>
      <w:r>
        <w:rPr>
          <w:rFonts w:hint="eastAsia" w:ascii="仿宋_GB2312" w:hAnsi="仿宋_GB2312" w:eastAsia="仿宋_GB2312" w:cs="仿宋_GB2312"/>
          <w:spacing w:val="-2"/>
          <w:kern w:val="0"/>
          <w:sz w:val="28"/>
          <w:szCs w:val="28"/>
        </w:rPr>
        <w:t>除外。</w:t>
      </w:r>
    </w:p>
    <w:p>
      <w:pPr>
        <w:spacing w:line="49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（注：可以约定按照其他方式减少出资额，可以约定</w:t>
      </w:r>
      <w:r>
        <w:rPr>
          <w:rFonts w:ascii="仿宋_GB2312" w:hAnsi="仿宋_GB2312" w:eastAsia="仿宋_GB2312"/>
          <w:color w:val="FF0000"/>
          <w:sz w:val="28"/>
          <w:szCs w:val="28"/>
        </w:rPr>
        <w:t>股东</w:t>
      </w:r>
      <w:r>
        <w:rPr>
          <w:rFonts w:hint="eastAsia" w:ascii="仿宋_GB2312" w:hAnsi="仿宋_GB2312" w:eastAsia="仿宋_GB2312"/>
          <w:color w:val="FF0000"/>
          <w:sz w:val="28"/>
          <w:szCs w:val="28"/>
        </w:rPr>
        <w:t>不等比例</w:t>
      </w:r>
      <w:r>
        <w:rPr>
          <w:rFonts w:hint="eastAsia" w:ascii="仿宋_GB2312" w:hAnsi="仿宋_GB2312" w:eastAsia="仿宋_GB2312" w:cs="仿宋_GB2312"/>
          <w:iCs/>
          <w:color w:val="FF0000"/>
          <w:sz w:val="28"/>
          <w:szCs w:val="28"/>
        </w:rPr>
        <w:t>减少股份，并修改本款。）</w:t>
      </w:r>
    </w:p>
    <w:p>
      <w:pPr>
        <w:widowControl/>
        <w:spacing w:line="490" w:lineRule="exact"/>
        <w:jc w:val="left"/>
        <w:rPr>
          <w:rFonts w:hint="eastAsia" w:ascii="仿宋_GB2312" w:hAnsi="仿宋_GB2312" w:eastAsia="仿宋_GB2312" w:cs="仿宋_GB2312"/>
          <w:kern w:val="0"/>
          <w:sz w:val="28"/>
          <w:szCs w:val="28"/>
        </w:rPr>
      </w:pPr>
    </w:p>
    <w:p>
      <w:pPr>
        <w:spacing w:line="490" w:lineRule="exact"/>
        <w:jc w:val="center"/>
        <w:rPr>
          <w:rFonts w:ascii="黑体" w:hAnsi="黑体" w:eastAsia="黑体"/>
          <w:b/>
          <w:kern w:val="0"/>
          <w:sz w:val="28"/>
          <w:szCs w:val="28"/>
        </w:rPr>
      </w:pPr>
      <w:r>
        <w:rPr>
          <w:rFonts w:hint="eastAsia" w:ascii="黑体" w:hAnsi="黑体" w:eastAsia="黑体"/>
          <w:b/>
          <w:kern w:val="0"/>
          <w:sz w:val="28"/>
          <w:szCs w:val="28"/>
        </w:rPr>
        <w:t>第</w:t>
      </w:r>
      <w:r>
        <w:rPr>
          <w:rFonts w:hint="eastAsia" w:ascii="黑体" w:hAnsi="黑体" w:eastAsia="黑体"/>
          <w:b/>
          <w:kern w:val="0"/>
          <w:sz w:val="28"/>
          <w:szCs w:val="28"/>
          <w:lang w:eastAsia="zh-CN"/>
        </w:rPr>
        <w:t>三</w:t>
      </w:r>
      <w:r>
        <w:rPr>
          <w:rFonts w:hint="eastAsia" w:ascii="黑体" w:hAnsi="黑体" w:eastAsia="黑体"/>
          <w:b/>
          <w:kern w:val="0"/>
          <w:sz w:val="28"/>
          <w:szCs w:val="28"/>
        </w:rPr>
        <w:t>章  公司</w:t>
      </w:r>
      <w:r>
        <w:rPr>
          <w:rFonts w:ascii="黑体" w:hAnsi="黑体" w:eastAsia="黑体"/>
          <w:b/>
          <w:kern w:val="0"/>
          <w:sz w:val="28"/>
          <w:szCs w:val="28"/>
        </w:rPr>
        <w:t>的</w:t>
      </w:r>
      <w:r>
        <w:rPr>
          <w:rFonts w:hint="eastAsia" w:ascii="黑体" w:hAnsi="黑体" w:eastAsia="黑体"/>
          <w:b/>
          <w:kern w:val="0"/>
          <w:sz w:val="28"/>
          <w:szCs w:val="28"/>
        </w:rPr>
        <w:t>设立方式、发起人</w:t>
      </w:r>
    </w:p>
    <w:p>
      <w:pPr>
        <w:spacing w:line="49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9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个：</w:t>
      </w:r>
      <w:r>
        <w:rPr>
          <w:rFonts w:hint="eastAsia" w:ascii="仿宋_GB2312" w:hAnsi="仿宋_GB2312" w:eastAsia="仿宋_GB2312" w:cs="仿宋_GB2312"/>
          <w:sz w:val="28"/>
          <w:szCs w:val="28"/>
        </w:rPr>
        <w:t xml:space="preserve"> </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z w:val="28"/>
          <w:szCs w:val="28"/>
        </w:rPr>
        <w:t>认购的股份数和出资方式</w:t>
      </w:r>
      <w:r>
        <w:rPr>
          <w:rFonts w:hint="eastAsia" w:ascii="仿宋_GB2312" w:hAnsi="仿宋_GB2312" w:eastAsia="仿宋_GB2312" w:cs="仿宋_GB2312"/>
          <w:spacing w:val="-2"/>
          <w:kern w:val="0"/>
          <w:sz w:val="28"/>
          <w:szCs w:val="28"/>
        </w:rPr>
        <w:t>：</w:t>
      </w:r>
    </w:p>
    <w:p>
      <w:pPr>
        <w:numPr>
          <w:ilvl w:val="0"/>
          <w:numId w:val="1"/>
        </w:num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numPr>
          <w:ilvl w:val="0"/>
          <w:numId w:val="1"/>
        </w:num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w:t>
      </w:r>
    </w:p>
    <w:p>
      <w:pPr>
        <w:spacing w:line="49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（注：股份有限公司应当有一人以上二百人以下发起人，其中须有半数以上的发起人在中国境内有住所。）</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90" w:lineRule="exact"/>
        <w:ind w:firstLine="630"/>
        <w:rPr>
          <w:rFonts w:hint="eastAsia"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（四）有依法律和本章程的规定转让股权的权利；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9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（六）有权查阅、复制公司章程、股东名册、股东会会议记录、董事会会议决议、监事决定和财务会计报告，对公司的经营提出建议或者质询。</w:t>
      </w:r>
    </w:p>
    <w:p>
      <w:pPr>
        <w:spacing w:line="490" w:lineRule="exact"/>
        <w:ind w:firstLine="560" w:firstLineChars="200"/>
        <w:rPr>
          <w:rFonts w:hint="eastAsia" w:ascii="仿宋_GB2312" w:hAnsi="仿宋_GB2312" w:eastAsia="仿宋_GB2312" w:cs="仿宋_GB2312"/>
          <w:color w:val="FF0000"/>
          <w:spacing w:val="-2"/>
          <w:kern w:val="0"/>
          <w:sz w:val="28"/>
          <w:szCs w:val="28"/>
        </w:rPr>
      </w:pPr>
      <w:r>
        <w:rPr>
          <w:rFonts w:ascii="仿宋_GB2312" w:hAnsi="仿宋_GB2312" w:eastAsia="仿宋_GB2312"/>
          <w:sz w:val="28"/>
          <w:szCs w:val="28"/>
        </w:rPr>
        <w:t>连续一百八十日以上单独或者合计持有公司</w:t>
      </w:r>
      <w:r>
        <w:rPr>
          <w:rFonts w:ascii="仿宋_GB2312" w:hAnsi="仿宋_GB2312" w:eastAsia="仿宋_GB2312"/>
          <w:sz w:val="28"/>
          <w:szCs w:val="28"/>
          <w:u w:val="single"/>
        </w:rPr>
        <w:t>百分之三</w:t>
      </w:r>
      <w:r>
        <w:rPr>
          <w:rFonts w:ascii="仿宋_GB2312" w:hAnsi="仿宋_GB2312" w:eastAsia="仿宋_GB2312"/>
          <w:sz w:val="28"/>
          <w:szCs w:val="28"/>
        </w:rPr>
        <w:t>以上股份的股东</w:t>
      </w:r>
      <w:r>
        <w:rPr>
          <w:rFonts w:hint="eastAsia" w:ascii="仿宋_GB2312" w:hAnsi="仿宋_GB2312" w:eastAsia="仿宋_GB2312" w:cs="仿宋_GB2312"/>
          <w:color w:val="000000"/>
          <w:spacing w:val="-2"/>
          <w:kern w:val="0"/>
          <w:sz w:val="28"/>
          <w:szCs w:val="28"/>
        </w:rPr>
        <w:t>有权要求查阅公司及其全资子公司会计账簿、会计凭证，公司拒绝提供查阅的，股东可以向人民法院提起诉讼。</w:t>
      </w:r>
      <w:r>
        <w:rPr>
          <w:rFonts w:hint="eastAsia" w:ascii="仿宋_GB2312" w:hAnsi="仿宋_GB2312" w:eastAsia="仿宋_GB2312" w:cs="仿宋_GB2312"/>
          <w:color w:val="FF0000"/>
          <w:spacing w:val="-2"/>
          <w:kern w:val="0"/>
          <w:sz w:val="28"/>
          <w:szCs w:val="28"/>
        </w:rPr>
        <w:t>（注：</w:t>
      </w:r>
      <w:r>
        <w:rPr>
          <w:rFonts w:ascii="仿宋_GB2312" w:hAnsi="仿宋_GB2312" w:eastAsia="仿宋_GB2312"/>
          <w:color w:val="FF0000"/>
          <w:sz w:val="28"/>
          <w:szCs w:val="28"/>
        </w:rPr>
        <w:t>对持股比例有较低规定的，</w:t>
      </w:r>
      <w:r>
        <w:rPr>
          <w:rFonts w:hint="eastAsia" w:ascii="仿宋_GB2312" w:hAnsi="仿宋_GB2312" w:eastAsia="仿宋_GB2312"/>
          <w:color w:val="FF0000"/>
          <w:sz w:val="28"/>
          <w:szCs w:val="28"/>
        </w:rPr>
        <w:t>可以修改本项）</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（九）有选举和被选举为董事或者监事的权利；</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（二）应当按期足额缴纳出资额；</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9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90" w:lineRule="exact"/>
        <w:jc w:val="center"/>
        <w:rPr>
          <w:rFonts w:hint="eastAsia" w:ascii="黑体" w:hAnsi="黑体" w:eastAsia="黑体"/>
          <w:b/>
          <w:kern w:val="0"/>
          <w:sz w:val="28"/>
          <w:szCs w:val="28"/>
        </w:rPr>
      </w:pPr>
    </w:p>
    <w:p>
      <w:pPr>
        <w:spacing w:line="49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9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7"/>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786"/>
        <w:gridCol w:w="1196"/>
        <w:gridCol w:w="1000"/>
        <w:gridCol w:w="1890"/>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6"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序号</w:t>
            </w:r>
          </w:p>
        </w:tc>
        <w:tc>
          <w:tcPr>
            <w:tcW w:w="1050"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val="en-US" w:eastAsia="zh-CN"/>
                <w14:textFill>
                  <w14:solidFill>
                    <w14:schemeClr w14:val="tx1"/>
                  </w14:solidFill>
                </w14:textFill>
              </w:rPr>
              <w:t>发起人</w:t>
            </w: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姓名</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（名称）</w:t>
            </w:r>
          </w:p>
        </w:tc>
        <w:tc>
          <w:tcPr>
            <w:tcW w:w="703"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认缴出资额</w:t>
            </w:r>
          </w:p>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（万元）</w:t>
            </w:r>
          </w:p>
        </w:tc>
        <w:tc>
          <w:tcPr>
            <w:tcW w:w="588" w:type="pct"/>
            <w:noWrap w:val="0"/>
            <w:vAlign w:val="top"/>
          </w:tcPr>
          <w:p>
            <w:pPr>
              <w:spacing w:line="360" w:lineRule="exact"/>
              <w:jc w:val="center"/>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出资方式</w:t>
            </w:r>
          </w:p>
        </w:tc>
        <w:tc>
          <w:tcPr>
            <w:tcW w:w="1111"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出资期限起始日期</w:t>
            </w:r>
          </w:p>
        </w:tc>
        <w:tc>
          <w:tcPr>
            <w:tcW w:w="1159" w:type="pct"/>
            <w:noWrap w:val="0"/>
            <w:vAlign w:val="top"/>
          </w:tcPr>
          <w:p>
            <w:pPr>
              <w:spacing w:line="360" w:lineRule="exact"/>
              <w:jc w:val="cente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iCs/>
                <w:color w:val="000000" w:themeColor="text1"/>
                <w:sz w:val="28"/>
                <w:szCs w:val="28"/>
                <w:vertAlign w:val="baseline"/>
                <w:lang w:eastAsia="zh-CN"/>
                <w14:textFill>
                  <w14:solidFill>
                    <w14:schemeClr w14:val="tx1"/>
                  </w14:solidFill>
                </w14:textFill>
              </w:rPr>
              <w:t>出资期限截止日期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050"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703"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588"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11"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c>
          <w:tcPr>
            <w:tcW w:w="1159" w:type="pct"/>
            <w:noWrap w:val="0"/>
            <w:vAlign w:val="top"/>
          </w:tcPr>
          <w:p>
            <w:pPr>
              <w:spacing w:line="460" w:lineRule="exact"/>
              <w:rPr>
                <w:rFonts w:hint="eastAsia" w:ascii="仿宋_GB2312" w:hAnsi="仿宋_GB2312" w:eastAsia="仿宋_GB2312" w:cs="仿宋_GB2312"/>
                <w:i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111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50"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1111"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115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3月26日</w:t>
            </w:r>
          </w:p>
        </w:tc>
      </w:tr>
    </w:tbl>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w:t>
      </w:r>
      <w:r>
        <w:rPr>
          <w:rFonts w:hint="eastAsia" w:ascii="仿宋_GB2312" w:hAnsi="仿宋_GB2312" w:eastAsia="仿宋_GB2312" w:cs="仿宋_GB2312"/>
          <w:iCs/>
          <w:color w:val="FF0000"/>
          <w:sz w:val="28"/>
          <w:szCs w:val="28"/>
          <w:lang w:val="en-US" w:eastAsia="zh-CN"/>
        </w:rPr>
        <w:t>期限起止日期均</w:t>
      </w:r>
      <w:r>
        <w:rPr>
          <w:rFonts w:hint="eastAsia" w:ascii="仿宋_GB2312" w:hAnsi="仿宋_GB2312" w:eastAsia="仿宋_GB2312" w:cs="仿宋_GB2312"/>
          <w:iCs/>
          <w:color w:val="FF0000"/>
          <w:sz w:val="28"/>
          <w:szCs w:val="28"/>
        </w:rPr>
        <w:t>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lang w:bidi="ar"/>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股份有限公司成立后，董事会应当对发起人的出资情况进行核查，发现发起人未足额缴纳公司章程规定的出资的，应当由公司向该发起人发出书面催缴书，催缴出资。</w:t>
      </w:r>
    </w:p>
    <w:p>
      <w:pPr>
        <w:spacing w:line="49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9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rPr>
        <w:t>第五章　股份转让</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第二十二条</w:t>
      </w:r>
      <w:r>
        <w:rPr>
          <w:rFonts w:ascii="仿宋_GB2312" w:hAnsi="仿宋_GB2312" w:eastAsia="仿宋_GB2312"/>
          <w:sz w:val="28"/>
          <w:szCs w:val="28"/>
        </w:rPr>
        <w:t>　股东持有的股份可以向其他股东转让，也可以向股东以外的人转让</w:t>
      </w:r>
      <w:r>
        <w:rPr>
          <w:rFonts w:hint="eastAsia" w:ascii="仿宋_GB2312" w:hAnsi="仿宋_GB2312" w:eastAsia="仿宋_GB2312"/>
          <w:sz w:val="28"/>
          <w:szCs w:val="28"/>
        </w:rPr>
        <w:t>。</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（注：可以根据需要依法约定股份转让的限制条件，并记载于本条。）</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第二十三条</w:t>
      </w:r>
      <w:r>
        <w:rPr>
          <w:rFonts w:ascii="仿宋_GB2312" w:hAnsi="仿宋_GB2312" w:eastAsia="仿宋_GB2312"/>
          <w:sz w:val="28"/>
          <w:szCs w:val="28"/>
        </w:rPr>
        <w:t>　股东转让其股份，应当在依法设立的证券交易场所进行或者按照国务院规定的其他方式进行。</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第二十四条</w:t>
      </w:r>
      <w:r>
        <w:rPr>
          <w:rFonts w:ascii="仿宋_GB2312" w:hAnsi="仿宋_GB2312" w:eastAsia="仿宋_GB2312"/>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rPr>
          <w:rFonts w:hint="eastAsia" w:ascii="仿宋_GB2312" w:hAnsi="仿宋_GB2312" w:eastAsia="仿宋_GB2312"/>
          <w:sz w:val="28"/>
          <w:szCs w:val="28"/>
        </w:rPr>
      </w:pPr>
      <w:r>
        <w:rPr>
          <w:rFonts w:ascii="仿宋_GB2312" w:hAnsi="仿宋_GB2312" w:eastAsia="仿宋_GB2312"/>
          <w:sz w:val="28"/>
          <w:szCs w:val="28"/>
        </w:rPr>
        <w:t>股东会会议召开前二十日内或者公司决定分配股利的基准日前五日内，不得变更股东名册。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cs="仿宋_GB2312"/>
          <w:iCs/>
          <w:color w:val="FF0000"/>
          <w:sz w:val="28"/>
          <w:szCs w:val="28"/>
        </w:rPr>
        <w:t>（注：股份转让受限的股份有限公司可以另外约定股份继承的要求，并修改本条。）</w:t>
      </w:r>
    </w:p>
    <w:p>
      <w:pPr>
        <w:spacing w:line="490" w:lineRule="exact"/>
        <w:jc w:val="center"/>
        <w:rPr>
          <w:rFonts w:hint="eastAsia" w:ascii="黑体" w:hAnsi="黑体" w:eastAsia="黑体" w:cs="黑体"/>
          <w:sz w:val="28"/>
          <w:szCs w:val="28"/>
        </w:rPr>
      </w:pPr>
    </w:p>
    <w:p>
      <w:pPr>
        <w:spacing w:line="49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90" w:lineRule="exact"/>
        <w:jc w:val="center"/>
        <w:rPr>
          <w:rFonts w:hint="eastAsia" w:ascii="黑体" w:hAnsi="黑体" w:eastAsia="黑体" w:cs="黑体"/>
          <w:sz w:val="28"/>
          <w:szCs w:val="28"/>
        </w:rPr>
      </w:pPr>
    </w:p>
    <w:p>
      <w:pPr>
        <w:spacing w:line="490" w:lineRule="exact"/>
        <w:jc w:val="center"/>
        <w:rPr>
          <w:rFonts w:hint="eastAsia" w:ascii="黑体" w:hAnsi="黑体" w:eastAsia="黑体" w:cs="黑体"/>
          <w:sz w:val="28"/>
          <w:szCs w:val="28"/>
        </w:rPr>
      </w:pPr>
      <w:r>
        <w:rPr>
          <w:rFonts w:hint="eastAsia" w:ascii="黑体" w:hAnsi="黑体" w:eastAsia="黑体"/>
          <w:b/>
          <w:kern w:val="0"/>
          <w:sz w:val="28"/>
          <w:szCs w:val="28"/>
        </w:rPr>
        <w:t xml:space="preserve">第七章  </w:t>
      </w:r>
      <w:r>
        <w:rPr>
          <w:rFonts w:ascii="黑体" w:hAnsi="黑体" w:eastAsia="黑体"/>
          <w:b/>
          <w:kern w:val="0"/>
          <w:sz w:val="28"/>
          <w:szCs w:val="28"/>
        </w:rPr>
        <w:t>公司的机构及其产生办法、职权、议事规则</w:t>
      </w:r>
    </w:p>
    <w:p>
      <w:pPr>
        <w:spacing w:line="49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第三十二条</w:t>
      </w:r>
      <w:r>
        <w:rPr>
          <w:rFonts w:hint="eastAsia" w:ascii="仿宋_GB2312" w:hAnsi="仿宋_GB2312" w:eastAsia="仿宋_GB2312" w:cs="仿宋_GB2312"/>
          <w:sz w:val="28"/>
          <w:szCs w:val="28"/>
        </w:rPr>
        <w:t xml:space="preserve">  公司股东会由全体股东组成，股东会是公司的权力机构。</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第三十三条</w:t>
      </w:r>
      <w:r>
        <w:rPr>
          <w:rFonts w:hint="eastAsia" w:ascii="仿宋_GB2312" w:hAnsi="仿宋_GB2312" w:eastAsia="仿宋_GB2312" w:cs="仿宋_GB2312"/>
          <w:sz w:val="28"/>
          <w:szCs w:val="28"/>
        </w:rPr>
        <w:t xml:space="preserve">  股东会行使下列职权：</w:t>
      </w:r>
    </w:p>
    <w:p>
      <w:pPr>
        <w:spacing w:line="49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（一）选举和更换董事、监事，决定有关董事、监事的报酬事项；</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（二）审议批准董事会的报告；</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（三）审议批准监事的报告；</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（四）审议批准公司的利润分配方案和弥补亏损方案；</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（五）对公司增加或者减少注册资本作出决议；</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（六）对发行公司债券作出决议；</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（七）对公司合并、分立、解散、清算或者变更公司形式作出决议；</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（八）修改公司章程。</w:t>
      </w:r>
    </w:p>
    <w:p>
      <w:pPr>
        <w:spacing w:line="490" w:lineRule="exact"/>
        <w:ind w:firstLine="280" w:firstLineChars="1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（注：可以依法规定股东会的其他职权，并记载于本条。）</w:t>
      </w:r>
    </w:p>
    <w:p>
      <w:pPr>
        <w:spacing w:line="49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股东会可以授权董事会对发行公司债券作出决议。</w:t>
      </w:r>
    </w:p>
    <w:p>
      <w:pPr>
        <w:spacing w:line="49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第三十四条</w:t>
      </w:r>
      <w:r>
        <w:rPr>
          <w:rFonts w:hint="eastAsia" w:ascii="仿宋_GB2312" w:hAnsi="仿宋_GB2312" w:eastAsia="仿宋_GB2312" w:cs="仿宋_GB2312"/>
          <w:sz w:val="28"/>
          <w:szCs w:val="28"/>
        </w:rPr>
        <w:t xml:space="preserve">  股东会应当每年召开一次年会。有下列情形之一的，应当在两个月内召开临时股东会会议：</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（一）董事人数不足本法规定人数或者公司章程所定人数的三分之二时；</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（二）公司未弥补的亏损达股本总额三分之一时；</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（三）单独或者合计持有公司百分之十以上股份的股东请求时；</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（四）董事会认为必要时；</w:t>
      </w:r>
    </w:p>
    <w:p>
      <w:pPr>
        <w:spacing w:line="49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（五）监事提议召开时。</w:t>
      </w:r>
    </w:p>
    <w:p>
      <w:pPr>
        <w:spacing w:line="49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iCs/>
          <w:color w:val="FF0000"/>
          <w:sz w:val="28"/>
          <w:szCs w:val="28"/>
        </w:rPr>
        <w:t>（注：可以自行约定股东会召开临时会议的其他情形，并记载于本条。）</w:t>
      </w:r>
    </w:p>
    <w:p>
      <w:pPr>
        <w:spacing w:line="49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第三十五条</w:t>
      </w:r>
      <w:r>
        <w:rPr>
          <w:rFonts w:hint="eastAsia" w:ascii="仿宋_GB2312" w:hAnsi="仿宋_GB2312" w:eastAsia="仿宋_GB2312" w:cs="仿宋_GB2312"/>
          <w:sz w:val="28"/>
          <w:szCs w:val="28"/>
        </w:rPr>
        <w:t xml:space="preserve">  股东会会议由董事会召集，董事长主持；董事长不能履行职务或者不履行职务的，</w:t>
      </w:r>
      <w:r>
        <w:rPr>
          <w:rFonts w:hint="eastAsia" w:ascii="仿宋_GB2312" w:hAnsi="仿宋_GB2312" w:eastAsia="仿宋_GB2312" w:cs="仿宋_GB2312"/>
          <w:sz w:val="28"/>
          <w:szCs w:val="28"/>
          <w:u w:val="single"/>
        </w:rPr>
        <w:t>由副董事长主持；副董事长不能履行职务或者不履行职务的</w:t>
      </w:r>
      <w:r>
        <w:rPr>
          <w:rFonts w:hint="eastAsia" w:ascii="仿宋_GB2312" w:hAnsi="仿宋_GB2312" w:eastAsia="仿宋_GB2312" w:cs="仿宋_GB2312"/>
          <w:bCs/>
          <w:color w:val="FF0000"/>
          <w:kern w:val="0"/>
          <w:sz w:val="28"/>
          <w:szCs w:val="28"/>
        </w:rPr>
        <w:t>（注：不设副董事长的，可删除此句）</w:t>
      </w:r>
      <w:r>
        <w:rPr>
          <w:rFonts w:hint="eastAsia" w:ascii="仿宋_GB2312" w:hAnsi="仿宋_GB2312" w:eastAsia="仿宋_GB2312" w:cs="仿宋_GB2312"/>
          <w:sz w:val="28"/>
          <w:szCs w:val="28"/>
        </w:rPr>
        <w:t>，由过半数的董事共同推举一名董事主持。</w:t>
      </w:r>
    </w:p>
    <w:p>
      <w:pPr>
        <w:spacing w:line="49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董事会不能履行或者不履行召集股东会会议职责的，监事应当及时召集和主持；监事不召集和主持的，连续九十日以上单独或者合计持有公司百分之十以上股份的股东可以自行召集和主持。</w:t>
      </w:r>
    </w:p>
    <w:p>
      <w:pPr>
        <w:spacing w:line="49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单独或者合计持有公司百分之十以上股份的股东请求召开临时股东会会议的，董事会、监事应当在收到请求之日起十日内作出是否召开临时股东会会议的决定，并书面答复股东。</w:t>
      </w:r>
    </w:p>
    <w:p>
      <w:pPr>
        <w:spacing w:line="49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第三十六条</w:t>
      </w:r>
      <w:r>
        <w:rPr>
          <w:rFonts w:hint="eastAsia" w:ascii="仿宋_GB2312" w:hAnsi="仿宋_GB2312" w:eastAsia="仿宋_GB2312" w:cs="仿宋_GB2312"/>
          <w:sz w:val="28"/>
          <w:szCs w:val="28"/>
        </w:rPr>
        <w:t xml:space="preserve">  召开股东会会议，应当将会议召开的时间、地点和审议的事项于会议召开二十日前通知各股东；临时股东会会议应当于会议召开十五日前通知各股东。</w:t>
      </w:r>
    </w:p>
    <w:p>
      <w:pPr>
        <w:spacing w:line="49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一以上股份的股东，可以在股东会召开十日前提出临时提案并书面提交董事会。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spacing w:line="49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股东会不得对通知中未列明的事项作出决议。</w:t>
      </w:r>
    </w:p>
    <w:p>
      <w:pPr>
        <w:spacing w:line="49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第三十七条</w:t>
      </w:r>
      <w:r>
        <w:rPr>
          <w:rFonts w:hint="eastAsia" w:ascii="仿宋_GB2312" w:hAnsi="仿宋_GB2312" w:eastAsia="仿宋_GB2312" w:cs="仿宋_GB2312"/>
          <w:sz w:val="28"/>
          <w:szCs w:val="28"/>
        </w:rPr>
        <w:t xml:space="preserve">  股东可以委托代理人出席股东会会议的，应当明确代理人代理的事项、权限和期限；代理人应当向公司提交股东授权委托书，并在授权范围内行使表决权。</w:t>
      </w:r>
    </w:p>
    <w:p>
      <w:pPr>
        <w:spacing w:line="49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第三十八条</w:t>
      </w:r>
      <w:r>
        <w:rPr>
          <w:rFonts w:hint="eastAsia" w:ascii="仿宋_GB2312" w:hAnsi="仿宋_GB2312" w:eastAsia="仿宋_GB2312" w:cs="仿宋_GB2312"/>
          <w:sz w:val="28"/>
          <w:szCs w:val="28"/>
        </w:rPr>
        <w:t xml:space="preserve">  股东会应当对所议事项的决定作成会议记录，主持人、出席会议的董事应当在会议记录上签名。会议记录应当与出席股东的签名册及代理出席的委托书一并保存。</w:t>
      </w:r>
    </w:p>
    <w:p>
      <w:pPr>
        <w:spacing w:line="49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第三十九条</w:t>
      </w:r>
      <w:r>
        <w:rPr>
          <w:rFonts w:hint="eastAsia" w:ascii="仿宋_GB2312" w:hAnsi="仿宋_GB2312" w:eastAsia="仿宋_GB2312" w:cs="仿宋_GB2312"/>
          <w:sz w:val="28"/>
          <w:szCs w:val="28"/>
        </w:rPr>
        <w:t xml:space="preserve">  股东出席股东会会议，所持每一股份有一表决权，类别股股东除外。公司持有的本公司股份没有表决权。</w:t>
      </w:r>
    </w:p>
    <w:p>
      <w:pPr>
        <w:spacing w:line="49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股东会作出决议，应当经出席会议的股东所持表决权过半数通过。</w:t>
      </w:r>
    </w:p>
    <w:p>
      <w:pPr>
        <w:spacing w:line="49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股东会作出修改公司章程、增加或者减少注册资本的决议，以及公司合并、分立、解散或者变更公司形式的决议，应当经出席会议的股东所持表决权的三分之二以上通过。</w:t>
      </w:r>
    </w:p>
    <w:p>
      <w:pPr>
        <w:spacing w:line="490" w:lineRule="exact"/>
        <w:ind w:firstLine="56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股东会选举董事、监事实行累积投票制。</w:t>
      </w:r>
    </w:p>
    <w:p>
      <w:pPr>
        <w:spacing w:line="49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（注：公司章程可以约定股东会选举董事、监事不实行累积投票制，并修改本款。）</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hint="eastAsia" w:ascii="仿宋_GB2312" w:hAnsi="仿宋_GB2312" w:eastAsia="仿宋_GB2312" w:cs="仿宋_GB2312"/>
          <w:spacing w:val="-2"/>
          <w:kern w:val="0"/>
          <w:sz w:val="28"/>
          <w:szCs w:val="28"/>
        </w:rPr>
      </w:pP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u w:val="none"/>
        </w:rPr>
      </w:pPr>
      <w:r>
        <w:rPr>
          <w:rFonts w:hint="eastAsia" w:ascii="仿宋_GB2312" w:hAnsi="仿宋_GB2312" w:eastAsia="仿宋_GB2312" w:cs="仿宋_GB2312"/>
          <w:b/>
          <w:bCs/>
          <w:spacing w:val="-2"/>
          <w:kern w:val="0"/>
          <w:sz w:val="28"/>
          <w:szCs w:val="28"/>
        </w:rPr>
        <w:t xml:space="preserve">第四十二条 </w:t>
      </w:r>
      <w:r>
        <w:rPr>
          <w:rFonts w:hint="eastAsia" w:ascii="仿宋_GB2312" w:hAnsi="仿宋_GB2312" w:eastAsia="仿宋_GB2312" w:cs="仿宋_GB2312"/>
          <w:spacing w:val="-2"/>
          <w:kern w:val="0"/>
          <w:sz w:val="28"/>
          <w:szCs w:val="28"/>
        </w:rPr>
        <w:t>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r>
        <w:rPr>
          <w:rFonts w:hint="eastAsia" w:ascii="仿宋_GB2312" w:hAnsi="仿宋_GB2312" w:eastAsia="仿宋_GB2312" w:cs="仿宋_GB2312"/>
          <w:spacing w:val="-2"/>
          <w:kern w:val="0"/>
          <w:sz w:val="28"/>
          <w:szCs w:val="28"/>
          <w:u w:val="none"/>
        </w:rPr>
        <w:t>由董事会以全体董事过半数从董事中选举产生。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（注：不设副董事长的，删除副董事长有关内容。）</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第四十四条 </w:t>
      </w:r>
      <w:r>
        <w:rPr>
          <w:rFonts w:hint="eastAsia" w:ascii="仿宋_GB2312" w:hAnsi="仿宋_GB2312" w:eastAsia="仿宋_GB2312" w:cs="仿宋_GB2312"/>
          <w:spacing w:val="-2"/>
          <w:kern w:val="0"/>
          <w:sz w:val="28"/>
          <w:szCs w:val="28"/>
        </w:rPr>
        <w:t>董事会的议事方式和表决程序：</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代表十分之一以上表决权的股东、三分之一以上董事或者监事，可以提议召开临时董事会会议。董事长应当自接到提议后十日内，召集和主持董事会会议。</w:t>
      </w:r>
    </w:p>
    <w:p>
      <w:pPr>
        <w:spacing w:line="480" w:lineRule="exact"/>
        <w:ind w:firstLine="552" w:firstLineChars="200"/>
        <w:rPr>
          <w:rFonts w:hint="eastAsia"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（注：不设副董事长的，删除副董事长有关内容）</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spacing w:val="-2"/>
          <w:kern w:val="0"/>
          <w:sz w:val="28"/>
          <w:szCs w:val="28"/>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widowControl/>
        <w:spacing w:line="490" w:lineRule="exact"/>
        <w:ind w:firstLine="562" w:firstLineChars="200"/>
        <w:jc w:val="left"/>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z w:val="28"/>
          <w:szCs w:val="28"/>
        </w:rPr>
        <w:t>第四十七条</w:t>
      </w:r>
      <w:r>
        <w:rPr>
          <w:rFonts w:hint="eastAsia" w:ascii="仿宋_GB2312" w:hAnsi="仿宋_GB2312" w:eastAsia="仿宋_GB2312" w:cs="仿宋_GB2312"/>
          <w:sz w:val="28"/>
          <w:szCs w:val="28"/>
        </w:rPr>
        <w:t xml:space="preserve"> 公司设监事1人。</w:t>
      </w:r>
      <w:r>
        <w:rPr>
          <w:rFonts w:hint="eastAsia" w:ascii="仿宋_GB2312" w:hAnsi="仿宋_GB2312" w:eastAsia="仿宋_GB2312" w:cs="仿宋_GB2312"/>
          <w:color w:val="000000"/>
          <w:spacing w:val="-2"/>
          <w:kern w:val="0"/>
          <w:sz w:val="28"/>
          <w:szCs w:val="28"/>
        </w:rPr>
        <w:t>由股东会选举产生。</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董事、高级管理人员不得兼任监事。</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监事行使下列职权：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（二）对董事、高级管理人员执行公司职务的行为进行监督，对违反法律、行政法规、公司章程或者股东会决议的董事、高级管理人员提出解任的建议；</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（四）提议召开临时股东会会议，在董事不履行本章程规定的召集和主持股东会会议职责时召集和主持股东会会议；</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（五）向股东会会议提出提案；</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（六）依照《公司法》第一百八十九条的规定，对董事、高级管理人员提起诉讼。</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（注：可以约定监事的其他职权，并记载于本条。）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90" w:lineRule="exact"/>
        <w:ind w:firstLine="552" w:firstLineChars="200"/>
        <w:rPr>
          <w:rFonts w:hint="eastAsia" w:ascii="仿宋_GB2312" w:hAnsi="仿宋_GB2312" w:eastAsia="仿宋_GB2312" w:cs="仿宋_GB2312"/>
          <w:spacing w:val="-2"/>
          <w:kern w:val="0"/>
          <w:sz w:val="28"/>
          <w:szCs w:val="28"/>
        </w:rPr>
      </w:pPr>
    </w:p>
    <w:p>
      <w:pPr>
        <w:spacing w:line="490" w:lineRule="exact"/>
        <w:jc w:val="center"/>
        <w:rPr>
          <w:rFonts w:hint="eastAsia" w:ascii="黑体" w:hAnsi="黑体" w:eastAsia="黑体"/>
          <w:b/>
          <w:kern w:val="0"/>
          <w:sz w:val="28"/>
          <w:szCs w:val="28"/>
        </w:rPr>
      </w:pPr>
      <w:r>
        <w:rPr>
          <w:rFonts w:hint="eastAsia" w:ascii="黑体" w:hAnsi="黑体" w:eastAsia="黑体"/>
          <w:b/>
          <w:kern w:val="0"/>
          <w:sz w:val="28"/>
          <w:szCs w:val="28"/>
        </w:rPr>
        <w:t>第八章    公司董事、监事、高级管理人员资格和义务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董事、监事、高级管理人员不得有下列行为：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9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9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9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color w:val="000000"/>
          <w:spacing w:val="-2"/>
          <w:kern w:val="0"/>
          <w:sz w:val="28"/>
          <w:szCs w:val="28"/>
        </w:rPr>
        <w:t>董事会对本章程第五十六条至第五十八条规定的事项决议时，关联董事不得参与表决，其表决权不计入表决权总数。出席董事会会议的无关联关系董事人数不足三人的，应当将该事项提交股东会审定。</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90" w:lineRule="exact"/>
        <w:jc w:val="center"/>
        <w:rPr>
          <w:rFonts w:hint="eastAsia" w:ascii="黑体" w:hAnsi="黑体" w:eastAsia="黑体" w:cs="黑体"/>
          <w:b/>
          <w:kern w:val="0"/>
          <w:sz w:val="28"/>
          <w:szCs w:val="28"/>
        </w:rPr>
      </w:pPr>
    </w:p>
    <w:p>
      <w:pPr>
        <w:spacing w:line="49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kern w:val="0"/>
          <w:sz w:val="28"/>
          <w:szCs w:val="28"/>
        </w:rPr>
        <w:t>九</w:t>
      </w:r>
      <w:r>
        <w:rPr>
          <w:rFonts w:hint="eastAsia" w:ascii="黑体" w:hAnsi="黑体" w:eastAsia="黑体" w:cs="黑体"/>
          <w:b/>
          <w:kern w:val="0"/>
          <w:sz w:val="28"/>
          <w:szCs w:val="28"/>
        </w:rPr>
        <w:t>章  公司的财务、会计</w:t>
      </w:r>
    </w:p>
    <w:p>
      <w:pPr>
        <w:spacing w:line="49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w:t>
      </w:r>
      <w:r>
        <w:rPr>
          <w:rFonts w:ascii="仿宋_GB2312" w:hAnsi="仿宋_GB2312" w:eastAsia="仿宋_GB2312"/>
          <w:sz w:val="28"/>
          <w:szCs w:val="28"/>
        </w:rPr>
        <w:t>公司的财务会计报告应当在召开股东会年会的二十日前置备于本公司，供股东查阅</w:t>
      </w:r>
      <w:r>
        <w:rPr>
          <w:rFonts w:hint="eastAsia" w:ascii="仿宋_GB2312" w:hAnsi="仿宋_GB2312" w:eastAsia="仿宋_GB2312"/>
          <w:sz w:val="28"/>
          <w:szCs w:val="28"/>
        </w:rPr>
        <w:t>。</w:t>
      </w:r>
    </w:p>
    <w:p>
      <w:pPr>
        <w:spacing w:line="49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w:t>
      </w:r>
      <w:r>
        <w:rPr>
          <w:rFonts w:ascii="仿宋_GB2312" w:hAnsi="仿宋_GB2312" w:eastAsia="仿宋_GB2312"/>
          <w:sz w:val="28"/>
          <w:szCs w:val="28"/>
        </w:rPr>
        <w:t>按照</w:t>
      </w:r>
      <w:r>
        <w:rPr>
          <w:rFonts w:ascii="仿宋_GB2312" w:hAnsi="仿宋_GB2312" w:eastAsia="仿宋_GB2312"/>
          <w:sz w:val="28"/>
          <w:szCs w:val="28"/>
          <w:u w:val="single"/>
        </w:rPr>
        <w:t>股东所持有的股份比例</w:t>
      </w:r>
      <w:r>
        <w:rPr>
          <w:rFonts w:ascii="仿宋_GB2312" w:hAnsi="仿宋_GB2312" w:eastAsia="仿宋_GB2312"/>
          <w:sz w:val="28"/>
          <w:szCs w:val="28"/>
        </w:rPr>
        <w:t>分配利润</w:t>
      </w:r>
      <w:r>
        <w:rPr>
          <w:rFonts w:hint="eastAsia" w:ascii="仿宋_GB2312" w:hAnsi="仿宋_GB2312" w:eastAsia="仿宋_GB2312" w:cs="仿宋_GB2312"/>
          <w:spacing w:val="-2"/>
          <w:kern w:val="0"/>
          <w:sz w:val="28"/>
          <w:szCs w:val="28"/>
        </w:rPr>
        <w:t>。公司持有的本公司股份不得分配利润。</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（注：可以约定按其他方式分取红利，并修改本条。）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90" w:lineRule="exact"/>
        <w:ind w:firstLine="552" w:firstLineChars="200"/>
        <w:rPr>
          <w:rFonts w:ascii="宋体" w:hAnsi="宋体"/>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90" w:lineRule="exact"/>
        <w:jc w:val="left"/>
        <w:rPr>
          <w:rFonts w:hint="eastAsia" w:ascii="仿宋_GB2312" w:hAnsi="仿宋_GB2312" w:eastAsia="仿宋_GB2312" w:cs="仿宋_GB2312"/>
          <w:sz w:val="28"/>
          <w:szCs w:val="28"/>
        </w:rPr>
      </w:pPr>
    </w:p>
    <w:p>
      <w:pPr>
        <w:spacing w:line="49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第十章  解散和清算</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公司因下列原因解散：</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90" w:lineRule="exact"/>
        <w:ind w:firstLine="552" w:firstLineChars="200"/>
        <w:rPr>
          <w:rFonts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9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清算组在清算期间行使下列职权：</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9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w:t>
      </w:r>
      <w:r>
        <w:rPr>
          <w:rFonts w:ascii="仿宋_GB2312" w:hAnsi="仿宋_GB2312" w:eastAsia="仿宋_GB2312"/>
          <w:sz w:val="28"/>
          <w:szCs w:val="28"/>
        </w:rPr>
        <w:t>按照股东持有的股份比例分配。</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第七十二条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9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90" w:lineRule="exact"/>
        <w:ind w:firstLine="560" w:firstLineChars="200"/>
        <w:jc w:val="left"/>
        <w:rPr>
          <w:rFonts w:hint="eastAsia" w:ascii="仿宋_GB2312" w:hAnsi="仿宋_GB2312" w:eastAsia="仿宋_GB2312" w:cs="仿宋_GB2312"/>
          <w:sz w:val="28"/>
          <w:szCs w:val="28"/>
        </w:rPr>
      </w:pPr>
    </w:p>
    <w:p>
      <w:pPr>
        <w:spacing w:line="49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9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9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bCs/>
          <w:kern w:val="0"/>
          <w:sz w:val="28"/>
          <w:szCs w:val="28"/>
        </w:rPr>
        <w:t xml:space="preserve"> 公司通知可采用以下方式：</w:t>
      </w:r>
    </w:p>
    <w:p>
      <w:pPr>
        <w:spacing w:line="49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9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9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9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90" w:lineRule="exact"/>
        <w:ind w:firstLine="560"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9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spacing w:val="-2"/>
          <w:kern w:val="0"/>
          <w:sz w:val="28"/>
          <w:szCs w:val="28"/>
        </w:rPr>
        <w:t xml:space="preserve"> 公司股东会、董事会、监事召开会议和表决可以采用电子通信方式。</w:t>
      </w:r>
    </w:p>
    <w:p>
      <w:pPr>
        <w:spacing w:line="49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第七十七条 </w:t>
      </w:r>
      <w:r>
        <w:rPr>
          <w:rFonts w:hint="eastAsia" w:ascii="仿宋_GB2312" w:hAnsi="仿宋_GB2312" w:eastAsia="仿宋_GB2312" w:cs="仿宋_GB2312"/>
          <w:bCs/>
          <w:kern w:val="0"/>
          <w:sz w:val="28"/>
          <w:szCs w:val="28"/>
        </w:rPr>
        <w:t xml:space="preserve"> 公司、股东会、董事会、监事的公告，应在报纸或者国家企业信用信息公示系统等途径发布。</w:t>
      </w:r>
    </w:p>
    <w:p>
      <w:pPr>
        <w:spacing w:line="49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90" w:lineRule="exact"/>
        <w:ind w:firstLine="560" w:firstLineChars="200"/>
        <w:jc w:val="left"/>
        <w:rPr>
          <w:rFonts w:hint="eastAsia" w:ascii="仿宋_GB2312" w:hAnsi="仿宋_GB2312" w:eastAsia="仿宋_GB2312" w:cs="仿宋_GB2312"/>
          <w:sz w:val="28"/>
          <w:szCs w:val="28"/>
        </w:rPr>
      </w:pPr>
    </w:p>
    <w:p>
      <w:pPr>
        <w:spacing w:line="49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第十二章  公司的其他规定</w:t>
      </w:r>
    </w:p>
    <w:p>
      <w:pPr>
        <w:spacing w:line="49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第七十八条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spacing w:val="-2"/>
          <w:kern w:val="0"/>
          <w:sz w:val="28"/>
          <w:szCs w:val="28"/>
          <w:lang w:eastAsia="zh-CN"/>
        </w:rPr>
        <w:t>。</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9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spacing w:val="-2"/>
          <w:kern w:val="0"/>
          <w:sz w:val="28"/>
          <w:szCs w:val="28"/>
        </w:rPr>
        <w:t>应当经股东会决议。</w:t>
      </w:r>
    </w:p>
    <w:p>
      <w:pPr>
        <w:spacing w:line="49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第七十九条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9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第八十条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年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日订立。</w:t>
      </w:r>
    </w:p>
    <w:p>
      <w:pPr>
        <w:spacing w:line="490" w:lineRule="exact"/>
        <w:ind w:firstLine="630"/>
        <w:rPr>
          <w:rFonts w:hint="eastAsia" w:ascii="宋体" w:hAnsi="宋体"/>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宋体" w:hAnsi="宋体"/>
          <w:color w:val="FF0000"/>
          <w:spacing w:val="-2"/>
          <w:kern w:val="0"/>
          <w:sz w:val="28"/>
          <w:szCs w:val="28"/>
          <w:u w:val="single"/>
        </w:rPr>
        <w:t xml:space="preserve">       </w:t>
      </w:r>
    </w:p>
    <w:p>
      <w:pPr>
        <w:spacing w:line="490" w:lineRule="exact"/>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年</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90" w:lineRule="exact"/>
        <w:ind w:firstLine="552" w:firstLineChars="200"/>
        <w:rPr>
          <w:rFonts w:hint="eastAsia" w:ascii="仿宋_GB2312" w:hAnsi="仿宋_GB2312" w:eastAsia="仿宋_GB2312" w:cs="仿宋_GB2312"/>
          <w:color w:val="000000"/>
          <w:spacing w:val="-2"/>
          <w:kern w:val="0"/>
          <w:sz w:val="28"/>
          <w:szCs w:val="28"/>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000000"/>
          <w:spacing w:val="-2"/>
          <w:kern w:val="0"/>
          <w:sz w:val="28"/>
          <w:szCs w:val="28"/>
        </w:rPr>
        <w:t>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00" w:lineRule="exact"/>
        <w:ind w:firstLine="5040" w:firstLineChars="1800"/>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FF0000"/>
          <w:sz w:val="28"/>
          <w:szCs w:val="28"/>
          <w:highlight w:val="none"/>
        </w:rPr>
      </w:pPr>
      <w:r>
        <w:rPr>
          <w:rFonts w:hint="eastAsia" w:ascii="仿宋_GB2312" w:hAnsi="仿宋_GB2312" w:eastAsia="仿宋_GB2312" w:cs="仿宋_GB2312"/>
          <w:b/>
          <w:bCs/>
          <w:color w:val="FF0000"/>
          <w:sz w:val="28"/>
          <w:szCs w:val="28"/>
          <w:highlight w:val="none"/>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highlight w:val="none"/>
        </w:rPr>
      </w:pPr>
      <w:r>
        <w:rPr>
          <w:rFonts w:hint="eastAsia" w:ascii="仿宋_GB2312" w:hAnsi="Calibri" w:eastAsia="仿宋_GB2312" w:cs="仿宋_GB2312"/>
          <w:b/>
          <w:color w:val="FF0000"/>
          <w:szCs w:val="21"/>
          <w:highlight w:val="none"/>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highlight w:val="none"/>
        </w:rPr>
      </w:pPr>
      <w:r>
        <w:rPr>
          <w:rFonts w:hint="eastAsia" w:ascii="仿宋_GB2312" w:hAnsi="Calibri" w:eastAsia="仿宋_GB2312" w:cs="仿宋_GB2312"/>
          <w:color w:val="FF0000"/>
          <w:szCs w:val="21"/>
          <w:highlight w:val="none"/>
          <w:lang w:val="en-US" w:eastAsia="zh-CN"/>
        </w:rPr>
        <w:t>2</w:t>
      </w:r>
      <w:r>
        <w:rPr>
          <w:rFonts w:hint="default" w:ascii="仿宋_GB2312" w:hAnsi="Calibri" w:eastAsia="仿宋_GB2312" w:cs="仿宋_GB2312"/>
          <w:color w:val="FF0000"/>
          <w:szCs w:val="21"/>
          <w:highlight w:val="none"/>
          <w:lang w:val="en-US" w:eastAsia="zh-CN"/>
        </w:rPr>
        <w:t>.</w:t>
      </w:r>
      <w:r>
        <w:rPr>
          <w:rFonts w:hint="eastAsia" w:ascii="仿宋_GB2312" w:hAnsi="Calibri" w:eastAsia="仿宋_GB2312" w:cs="仿宋_GB2312"/>
          <w:color w:val="FF0000"/>
          <w:szCs w:val="21"/>
          <w:highlight w:val="none"/>
          <w:lang w:eastAsia="zh-CN"/>
        </w:rPr>
        <w:t>本范本仅供参考，</w:t>
      </w:r>
      <w:r>
        <w:rPr>
          <w:rFonts w:hint="eastAsia" w:ascii="仿宋_GB2312" w:hAnsi="仿宋_GB2312" w:eastAsia="仿宋_GB2312" w:cs="仿宋_GB2312"/>
          <w:color w:val="FF0000"/>
          <w:szCs w:val="21"/>
          <w:highlight w:val="none"/>
        </w:rPr>
        <w:t>制作章程时，</w:t>
      </w:r>
      <w:r>
        <w:rPr>
          <w:rFonts w:hint="eastAsia" w:ascii="仿宋_GB2312" w:hAnsi="仿宋_GB2312" w:eastAsia="仿宋_GB2312" w:cs="仿宋_GB2312"/>
          <w:color w:val="FF0000"/>
          <w:szCs w:val="21"/>
          <w:highlight w:val="none"/>
          <w:lang w:eastAsia="zh-CN"/>
        </w:rPr>
        <w:t>应结合实际情况</w:t>
      </w:r>
      <w:r>
        <w:rPr>
          <w:rFonts w:hint="eastAsia" w:ascii="仿宋_GB2312" w:hAnsi="仿宋_GB2312" w:eastAsia="仿宋_GB2312" w:cs="仿宋_GB2312"/>
          <w:color w:val="FF0000"/>
          <w:szCs w:val="21"/>
          <w:highlight w:val="none"/>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设立</w:t>
      </w:r>
      <w:r>
        <w:rPr>
          <w:rFonts w:hint="eastAsia" w:ascii="仿宋_GB2312" w:hAnsi="Calibri" w:eastAsia="仿宋_GB2312" w:cs="仿宋_GB2312"/>
          <w:color w:val="FF0000"/>
          <w:szCs w:val="21"/>
          <w:highlight w:val="none"/>
          <w:lang w:eastAsia="zh-CN"/>
        </w:rPr>
        <w:t>登记的，</w:t>
      </w:r>
      <w:r>
        <w:rPr>
          <w:rFonts w:hint="eastAsia" w:ascii="仿宋_GB2312" w:hAnsi="Calibri" w:eastAsia="仿宋_GB2312" w:cs="仿宋_GB2312"/>
          <w:color w:val="FF0000"/>
          <w:szCs w:val="21"/>
          <w:highlight w:val="none"/>
        </w:rPr>
        <w:t>章程由全体</w:t>
      </w:r>
      <w:r>
        <w:rPr>
          <w:rFonts w:hint="eastAsia" w:ascii="仿宋_GB2312" w:hAnsi="仿宋_GB2312" w:eastAsia="仿宋_GB2312" w:cs="仿宋_GB2312"/>
          <w:color w:val="FF0000"/>
          <w:szCs w:val="21"/>
          <w:highlight w:val="none"/>
        </w:rPr>
        <w:t>发起人</w:t>
      </w:r>
      <w:r>
        <w:rPr>
          <w:rFonts w:hint="eastAsia" w:ascii="仿宋_GB2312" w:hAnsi="Calibri" w:eastAsia="仿宋_GB2312" w:cs="仿宋_GB2312"/>
          <w:color w:val="FF0000"/>
          <w:szCs w:val="21"/>
          <w:highlight w:val="none"/>
        </w:rPr>
        <w:t>签署</w:t>
      </w:r>
      <w:r>
        <w:rPr>
          <w:rFonts w:hint="eastAsia" w:ascii="仿宋_GB2312" w:hAnsi="Calibri" w:eastAsia="仿宋_GB2312" w:cs="仿宋_GB2312"/>
          <w:color w:val="FF0000"/>
          <w:szCs w:val="21"/>
          <w:highlight w:val="none"/>
          <w:lang w:val="en-US" w:eastAsia="zh-CN"/>
        </w:rPr>
        <w:t>。</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为自然人的，由</w:t>
      </w:r>
      <w:r>
        <w:rPr>
          <w:rFonts w:hint="eastAsia" w:ascii="仿宋_GB2312" w:hAnsi="仿宋_GB2312" w:eastAsia="仿宋_GB2312" w:cs="仿宋_GB2312"/>
          <w:bCs/>
          <w:color w:val="FF0000"/>
          <w:highlight w:val="none"/>
          <w:lang w:eastAsia="zh-CN"/>
        </w:rPr>
        <w:t>本人</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rPr>
      </w:pPr>
      <w:r>
        <w:rPr>
          <w:rFonts w:hint="eastAsia" w:ascii="仿宋_GB2312" w:hAnsi="仿宋_GB2312" w:eastAsia="仿宋_GB2312" w:cs="仿宋_GB2312"/>
          <w:bCs/>
          <w:color w:val="FF0000"/>
          <w:highlight w:val="none"/>
        </w:rPr>
        <w:t>签名；</w:t>
      </w:r>
      <w:r>
        <w:rPr>
          <w:rFonts w:hint="eastAsia" w:ascii="仿宋_GB2312" w:hAnsi="仿宋_GB2312" w:eastAsia="仿宋_GB2312" w:cs="仿宋_GB2312"/>
          <w:color w:val="FF0000"/>
          <w:szCs w:val="21"/>
          <w:highlight w:val="none"/>
        </w:rPr>
        <w:t>发起人</w:t>
      </w:r>
      <w:r>
        <w:rPr>
          <w:rFonts w:hint="eastAsia" w:ascii="仿宋_GB2312" w:hAnsi="仿宋_GB2312" w:eastAsia="仿宋_GB2312" w:cs="仿宋_GB2312"/>
          <w:bCs/>
          <w:color w:val="FF0000"/>
          <w:highlight w:val="none"/>
        </w:rPr>
        <w:t>为法人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组织</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的，由法定代表人</w:t>
      </w:r>
      <w:r>
        <w:rPr>
          <w:rFonts w:hint="eastAsia" w:ascii="仿宋_GB2312" w:hAnsi="仿宋_GB2312" w:eastAsia="仿宋_GB2312" w:cs="仿宋_GB2312"/>
          <w:bCs/>
          <w:color w:val="FF0000"/>
          <w:highlight w:val="none"/>
          <w:lang w:eastAsia="zh-CN"/>
        </w:rPr>
        <w:t>、</w:t>
      </w:r>
      <w:r>
        <w:rPr>
          <w:rFonts w:hint="eastAsia" w:ascii="仿宋_GB2312" w:hAnsi="仿宋_GB2312" w:eastAsia="仿宋_GB2312" w:cs="仿宋_GB2312"/>
          <w:bCs/>
          <w:color w:val="FF0000"/>
          <w:highlight w:val="none"/>
        </w:rPr>
        <w:t>负责人</w:t>
      </w:r>
      <w:r>
        <w:rPr>
          <w:rFonts w:hint="eastAsia" w:ascii="仿宋_GB2312" w:hAnsi="仿宋_GB2312" w:eastAsia="仿宋_GB2312" w:cs="仿宋_GB2312"/>
          <w:bCs/>
          <w:color w:val="FF0000"/>
          <w:highlight w:val="none"/>
          <w:lang w:eastAsia="zh-CN"/>
        </w:rPr>
        <w:t>或有权签字人签名，</w:t>
      </w:r>
      <w:r>
        <w:rPr>
          <w:rFonts w:hint="eastAsia" w:ascii="仿宋_GB2312" w:hAnsi="仿宋_GB2312" w:eastAsia="仿宋_GB2312" w:cs="仿宋_GB2312"/>
          <w:bCs/>
          <w:color w:val="FF0000"/>
          <w:szCs w:val="21"/>
          <w:highlight w:val="none"/>
          <w:lang w:eastAsia="zh-CN"/>
        </w:rPr>
        <w:t>或</w:t>
      </w:r>
      <w:r>
        <w:rPr>
          <w:rFonts w:hint="eastAsia" w:ascii="仿宋_GB2312" w:hAnsi="仿宋_GB2312" w:eastAsia="仿宋_GB2312" w:cs="仿宋_GB2312"/>
          <w:bCs/>
          <w:color w:val="FF0000"/>
          <w:szCs w:val="21"/>
          <w:highlight w:val="none"/>
        </w:rPr>
        <w:t>盖</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highlight w:val="none"/>
        </w:rPr>
        <w:t>法人（组织）</w:t>
      </w:r>
      <w:r>
        <w:rPr>
          <w:rFonts w:hint="eastAsia" w:ascii="仿宋_GB2312" w:hAnsi="仿宋_GB2312" w:eastAsia="仿宋_GB2312" w:cs="仿宋_GB2312"/>
          <w:bCs/>
          <w:color w:val="FF0000"/>
          <w:sz w:val="21"/>
          <w:szCs w:val="21"/>
          <w:highlight w:val="none"/>
          <w:lang w:eastAsia="zh-CN"/>
        </w:rPr>
        <w:t>的</w:t>
      </w:r>
      <w:r>
        <w:rPr>
          <w:rFonts w:hint="eastAsia" w:ascii="仿宋_GB2312" w:hAnsi="仿宋_GB2312" w:eastAsia="仿宋_GB2312" w:cs="仿宋_GB2312"/>
          <w:bCs/>
          <w:color w:val="FF0000"/>
          <w:szCs w:val="21"/>
          <w:highlight w:val="none"/>
        </w:rPr>
        <w:t>公章</w:t>
      </w:r>
      <w:r>
        <w:rPr>
          <w:rFonts w:hint="eastAsia" w:ascii="仿宋_GB2312" w:hAnsi="仿宋_GB2312" w:eastAsia="仿宋_GB2312" w:cs="仿宋_GB2312"/>
          <w:bCs/>
          <w:color w:val="FF0000"/>
          <w:szCs w:val="21"/>
          <w:highlight w:val="none"/>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highlight w:val="none"/>
          <w:lang w:val="en-US" w:eastAsia="zh-CN"/>
        </w:rPr>
      </w:pPr>
      <w:r>
        <w:rPr>
          <w:rFonts w:hint="eastAsia" w:ascii="仿宋_GB2312" w:hAnsi="仿宋_GB2312" w:eastAsia="仿宋_GB2312" w:cs="仿宋_GB2312"/>
          <w:color w:val="FF0000"/>
          <w:szCs w:val="21"/>
          <w:highlight w:val="none"/>
        </w:rPr>
        <w:t>股份有限公司</w:t>
      </w:r>
      <w:r>
        <w:rPr>
          <w:rFonts w:hint="eastAsia" w:ascii="仿宋_GB2312" w:hAnsi="Calibri" w:eastAsia="仿宋_GB2312" w:cs="仿宋_GB2312"/>
          <w:color w:val="FF0000"/>
          <w:szCs w:val="21"/>
          <w:highlight w:val="none"/>
        </w:rPr>
        <w:t>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highlight w:val="none"/>
          <w:lang w:val="en-US" w:eastAsia="zh-CN"/>
        </w:rPr>
      </w:pPr>
      <w:r>
        <w:rPr>
          <w:rFonts w:hint="eastAsia" w:ascii="仿宋_GB2312" w:hAnsi="Calibri" w:eastAsia="仿宋_GB2312" w:cs="仿宋_GB2312"/>
          <w:color w:val="FF0000"/>
          <w:szCs w:val="21"/>
          <w:highlight w:val="none"/>
        </w:rPr>
        <w:t>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确认。同时变更法定代表人的，由新法定代表人签</w:t>
      </w:r>
      <w:r>
        <w:rPr>
          <w:rFonts w:hint="eastAsia" w:ascii="仿宋_GB2312" w:hAnsi="Calibri" w:eastAsia="仿宋_GB2312" w:cs="仿宋_GB2312"/>
          <w:color w:val="FF0000"/>
          <w:szCs w:val="21"/>
          <w:highlight w:val="none"/>
          <w:lang w:eastAsia="zh-CN"/>
        </w:rPr>
        <w:t>名</w:t>
      </w:r>
      <w:r>
        <w:rPr>
          <w:rFonts w:hint="eastAsia" w:ascii="仿宋_GB2312" w:hAnsi="Calibri" w:eastAsia="仿宋_GB2312" w:cs="仿宋_GB2312"/>
          <w:color w:val="FF0000"/>
          <w:szCs w:val="21"/>
          <w:highlight w:val="none"/>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应当和正文在同一页，如不在同一页，请注明签</w:t>
      </w:r>
      <w:r>
        <w:rPr>
          <w:rFonts w:hint="eastAsia" w:ascii="仿宋_GB2312" w:hAnsi="Calibri" w:eastAsia="仿宋_GB2312" w:cs="仿宋_GB2312"/>
          <w:color w:val="FF0000"/>
          <w:szCs w:val="21"/>
          <w:highlight w:val="none"/>
          <w:lang w:eastAsia="zh-CN"/>
        </w:rPr>
        <w:t>署</w:t>
      </w:r>
      <w:r>
        <w:rPr>
          <w:rFonts w:hint="eastAsia" w:ascii="仿宋_GB2312" w:hAnsi="Calibri" w:eastAsia="仿宋_GB2312" w:cs="仿宋_GB2312"/>
          <w:color w:val="FF0000"/>
          <w:szCs w:val="21"/>
          <w:highlight w:val="none"/>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Calibri" w:eastAsia="仿宋_GB2312" w:cs="仿宋_GB2312"/>
          <w:color w:val="FF0000"/>
          <w:szCs w:val="21"/>
          <w:highlight w:val="none"/>
        </w:rPr>
        <w:t>年XX月XX日订立的章程签</w:t>
      </w:r>
      <w:r>
        <w:rPr>
          <w:rFonts w:hint="eastAsia" w:ascii="仿宋_GB2312" w:hAnsi="Calibri" w:eastAsia="仿宋_GB2312" w:cs="仿宋_GB2312"/>
          <w:color w:val="FF0000"/>
          <w:szCs w:val="21"/>
          <w:highlight w:val="none"/>
          <w:lang w:eastAsia="zh-CN"/>
        </w:rPr>
        <w:t>署页</w:t>
      </w:r>
      <w:r>
        <w:rPr>
          <w:rFonts w:hint="eastAsia" w:ascii="仿宋_GB2312" w:hAnsi="Calibri" w:eastAsia="仿宋_GB2312" w:cs="仿宋_GB2312"/>
          <w:color w:val="FF0000"/>
          <w:szCs w:val="21"/>
          <w:highlight w:val="none"/>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highlight w:val="none"/>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rPr>
          <w:rFonts w:ascii="仿宋_GB2312" w:hAnsi="仿宋_GB2312" w:eastAsia="仿宋_GB2312" w:cs="仿宋_GB2312"/>
          <w:color w:val="FF0000"/>
          <w:kern w:val="0"/>
          <w:sz w:val="32"/>
          <w:szCs w:val="32"/>
        </w:rPr>
      </w:pPr>
      <w:bookmarkStart w:id="0" w:name="_GoBack"/>
      <w:bookmarkEnd w:id="0"/>
    </w:p>
    <w:p>
      <w:pPr>
        <w:ind w:firstLine="2940" w:firstLineChars="1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FD3AF55"/>
    <w:multiLevelType w:val="singleLevel"/>
    <w:tmpl w:val="FFD3AF55"/>
    <w:lvl w:ilvl="0" w:tentative="0">
      <w:start w:val="1"/>
      <w:numFmt w:val="decimal"/>
      <w:lvlText w:val="%1."/>
      <w:lvlJc w:val="left"/>
      <w:pPr>
        <w:tabs>
          <w:tab w:val="left" w:pos="312"/>
        </w:tabs>
      </w:pPr>
    </w:lvl>
  </w:abstractNum>
  <w:abstractNum w:abstractNumId="2">
    <w:nsid w:val="36B41D0C"/>
    <w:multiLevelType w:val="singleLevel"/>
    <w:tmpl w:val="36B41D0C"/>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77FDE396"/>
    <w:rsid w:val="000574AC"/>
    <w:rsid w:val="000E6E22"/>
    <w:rsid w:val="002003EB"/>
    <w:rsid w:val="0036573D"/>
    <w:rsid w:val="004443F0"/>
    <w:rsid w:val="006279B9"/>
    <w:rsid w:val="00794FB5"/>
    <w:rsid w:val="00881E8C"/>
    <w:rsid w:val="00B91165"/>
    <w:rsid w:val="00BB7110"/>
    <w:rsid w:val="00E2605D"/>
    <w:rsid w:val="00ED7813"/>
    <w:rsid w:val="00F752B7"/>
    <w:rsid w:val="01AC61B3"/>
    <w:rsid w:val="0BE59F60"/>
    <w:rsid w:val="11CC605A"/>
    <w:rsid w:val="12DA1598"/>
    <w:rsid w:val="15DAEFB3"/>
    <w:rsid w:val="1787D03C"/>
    <w:rsid w:val="1881235C"/>
    <w:rsid w:val="1DDB4401"/>
    <w:rsid w:val="1FBEDB0E"/>
    <w:rsid w:val="24516D13"/>
    <w:rsid w:val="2A3532CD"/>
    <w:rsid w:val="2BAFF0AA"/>
    <w:rsid w:val="2BF58BB5"/>
    <w:rsid w:val="2C403919"/>
    <w:rsid w:val="2C58622C"/>
    <w:rsid w:val="2ED33556"/>
    <w:rsid w:val="2EFF62AC"/>
    <w:rsid w:val="2F740070"/>
    <w:rsid w:val="33F64C99"/>
    <w:rsid w:val="34E1D299"/>
    <w:rsid w:val="3709056B"/>
    <w:rsid w:val="37EC4C38"/>
    <w:rsid w:val="3A097ACD"/>
    <w:rsid w:val="3AAFCD94"/>
    <w:rsid w:val="3BAB3DA9"/>
    <w:rsid w:val="3BE91E91"/>
    <w:rsid w:val="3C7DD7F4"/>
    <w:rsid w:val="3C7FE92F"/>
    <w:rsid w:val="3F274445"/>
    <w:rsid w:val="3FF7C292"/>
    <w:rsid w:val="42994B5F"/>
    <w:rsid w:val="444D5563"/>
    <w:rsid w:val="49F98C12"/>
    <w:rsid w:val="4BFE914F"/>
    <w:rsid w:val="4DF9562C"/>
    <w:rsid w:val="537FAD9C"/>
    <w:rsid w:val="567FC773"/>
    <w:rsid w:val="579E68D0"/>
    <w:rsid w:val="5A67FBB9"/>
    <w:rsid w:val="5BB743FE"/>
    <w:rsid w:val="5DF7ED2E"/>
    <w:rsid w:val="5E5EE6AE"/>
    <w:rsid w:val="5EDF9913"/>
    <w:rsid w:val="5EFB39F7"/>
    <w:rsid w:val="5EFBB3FF"/>
    <w:rsid w:val="5F7F4857"/>
    <w:rsid w:val="5F7F53D3"/>
    <w:rsid w:val="5F9DC7E9"/>
    <w:rsid w:val="5FBA0CE4"/>
    <w:rsid w:val="5FCFA529"/>
    <w:rsid w:val="5FEFC647"/>
    <w:rsid w:val="5FFC2031"/>
    <w:rsid w:val="5FFF918E"/>
    <w:rsid w:val="65FFFB0B"/>
    <w:rsid w:val="665F11F0"/>
    <w:rsid w:val="67EFC103"/>
    <w:rsid w:val="67F67E3E"/>
    <w:rsid w:val="67FAD5FF"/>
    <w:rsid w:val="67FF196A"/>
    <w:rsid w:val="6DDB9C37"/>
    <w:rsid w:val="6FFB84E0"/>
    <w:rsid w:val="70DFDB41"/>
    <w:rsid w:val="734A08B0"/>
    <w:rsid w:val="739BD234"/>
    <w:rsid w:val="75B75DAA"/>
    <w:rsid w:val="76F97189"/>
    <w:rsid w:val="771FFC82"/>
    <w:rsid w:val="777F48A4"/>
    <w:rsid w:val="77DF70EF"/>
    <w:rsid w:val="77FDE396"/>
    <w:rsid w:val="7B6D4FE4"/>
    <w:rsid w:val="7B8CDECB"/>
    <w:rsid w:val="7BDF4EC1"/>
    <w:rsid w:val="7C552333"/>
    <w:rsid w:val="7DC785C9"/>
    <w:rsid w:val="7DFF852C"/>
    <w:rsid w:val="7E7E1C62"/>
    <w:rsid w:val="7EDF51A4"/>
    <w:rsid w:val="7EFF2980"/>
    <w:rsid w:val="7F3F219D"/>
    <w:rsid w:val="7F3F5A3A"/>
    <w:rsid w:val="7FB796AD"/>
    <w:rsid w:val="7FBE78F2"/>
    <w:rsid w:val="7FDDC83F"/>
    <w:rsid w:val="7FEA6E89"/>
    <w:rsid w:val="7FF7CEBA"/>
    <w:rsid w:val="7FFB6212"/>
    <w:rsid w:val="7FFEE56A"/>
    <w:rsid w:val="835A58E2"/>
    <w:rsid w:val="92BCDAC9"/>
    <w:rsid w:val="9BDBF11C"/>
    <w:rsid w:val="ABCE39D9"/>
    <w:rsid w:val="ABFCFE4E"/>
    <w:rsid w:val="AF7F13BA"/>
    <w:rsid w:val="B7DF87A4"/>
    <w:rsid w:val="BBB3609A"/>
    <w:rsid w:val="BDBD32BA"/>
    <w:rsid w:val="BE5F472C"/>
    <w:rsid w:val="BE7F496D"/>
    <w:rsid w:val="BFEF2DFA"/>
    <w:rsid w:val="BFFF6D88"/>
    <w:rsid w:val="BFFFD044"/>
    <w:rsid w:val="BFFFE76A"/>
    <w:rsid w:val="C37D6C17"/>
    <w:rsid w:val="CFF118E0"/>
    <w:rsid w:val="D6770E82"/>
    <w:rsid w:val="D6CFC6DE"/>
    <w:rsid w:val="D7FEC311"/>
    <w:rsid w:val="DEFEE16B"/>
    <w:rsid w:val="DF3E637F"/>
    <w:rsid w:val="DFB7574C"/>
    <w:rsid w:val="DFBCDA80"/>
    <w:rsid w:val="E3F743D4"/>
    <w:rsid w:val="E7FFCFE3"/>
    <w:rsid w:val="E8EEC667"/>
    <w:rsid w:val="EEBF1F90"/>
    <w:rsid w:val="EF9F0D53"/>
    <w:rsid w:val="EFBEE166"/>
    <w:rsid w:val="EFFF65AC"/>
    <w:rsid w:val="F37EFA19"/>
    <w:rsid w:val="F3D80BFE"/>
    <w:rsid w:val="F5D79942"/>
    <w:rsid w:val="F5DF16E9"/>
    <w:rsid w:val="F66FDDBE"/>
    <w:rsid w:val="F6F52CBE"/>
    <w:rsid w:val="F6FBD9B2"/>
    <w:rsid w:val="F7CB429D"/>
    <w:rsid w:val="FABE25DE"/>
    <w:rsid w:val="FB7B2E7A"/>
    <w:rsid w:val="FD27DC3F"/>
    <w:rsid w:val="FD63F127"/>
    <w:rsid w:val="FD7AB26F"/>
    <w:rsid w:val="FE95B4B0"/>
    <w:rsid w:val="FEBBD469"/>
    <w:rsid w:val="FEBC3946"/>
    <w:rsid w:val="FEBF2588"/>
    <w:rsid w:val="FEFCD7A5"/>
    <w:rsid w:val="FF3B37D2"/>
    <w:rsid w:val="FF3E705A"/>
    <w:rsid w:val="FF4F445A"/>
    <w:rsid w:val="FF7FABA7"/>
    <w:rsid w:val="FFAA5F6A"/>
    <w:rsid w:val="FFAEEA9D"/>
    <w:rsid w:val="FFCF5EC3"/>
    <w:rsid w:val="FFCFF0CF"/>
    <w:rsid w:val="FFF705E9"/>
    <w:rsid w:val="FFF7FDB0"/>
    <w:rsid w:val="FFFC6111"/>
    <w:rsid w:val="FFFCB3BB"/>
    <w:rsid w:val="FFFCC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annotation reference"/>
    <w:basedOn w:val="8"/>
    <w:semiHidden/>
    <w:qFormat/>
    <w:uiPriority w:val="99"/>
    <w:rPr>
      <w:sz w:val="21"/>
      <w:szCs w:val="21"/>
    </w:rPr>
  </w:style>
  <w:style w:type="paragraph" w:customStyle="1" w:styleId="11">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3">
    <w:name w:val="页眉 Char"/>
    <w:basedOn w:val="8"/>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11374</Words>
  <Characters>11413</Characters>
  <Lines>89</Lines>
  <Paragraphs>25</Paragraphs>
  <TotalTime>0</TotalTime>
  <ScaleCrop>false</ScaleCrop>
  <LinksUpToDate>false</LinksUpToDate>
  <CharactersWithSpaces>12265</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2024-07-22T06:44:00Z</dcterms:created>
  <dc:creator>admin1</dc:creator>
  <cp:lastModifiedBy>user</cp:lastModifiedBy>
  <dcterms:modified xsi:type="dcterms:W3CDTF">2026-04-25T17:12:45Z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2370939358266F407D46C3693A23705B_43</vt:lpwstr>
  </property>
  <property fmtid="{D5CDD505-2E9C-101B-9397-08002B2CF9AE}" pid="4" name="KSOTemplateDocerSaveRecord">
    <vt:lpwstr>eyJoZGlkIjoiZTZlYjhhOGE3Y2QxMWExNWQyZDI2ZjVmM2ZkNGI1ZDkiLCJ1c2VySWQiOiI1ODUzNzkyNTQifQ==</vt:lpwstr>
  </property>
</Properties>
</file>