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0" w:lineRule="exact"/>
        <w:jc w:val="center"/>
        <w:rPr>
          <w:rFonts w:hint="eastAsia" w:eastAsia="方正小标宋简体"/>
          <w:color w:val="auto"/>
          <w:sz w:val="44"/>
          <w:szCs w:val="44"/>
        </w:rPr>
      </w:pPr>
      <w:bookmarkStart w:id="0" w:name="OLE_LINK6"/>
      <w:bookmarkStart w:id="8" w:name="_GoBack"/>
      <w:r>
        <w:rPr>
          <w:rFonts w:hint="eastAsia" w:eastAsia="方正小标宋简体"/>
          <w:color w:val="auto"/>
          <w:sz w:val="44"/>
          <w:szCs w:val="44"/>
        </w:rPr>
        <w:t>东莞市保鲜膜产品质量监督抽查实施细则</w:t>
      </w:r>
    </w:p>
    <w:p>
      <w:pPr>
        <w:adjustRightInd w:val="0"/>
        <w:snapToGrid w:val="0"/>
        <w:spacing w:line="590" w:lineRule="exact"/>
        <w:jc w:val="center"/>
        <w:rPr>
          <w:rFonts w:hint="eastAsia" w:eastAsia="楷体_GB2312"/>
          <w:color w:val="auto"/>
          <w:sz w:val="32"/>
          <w:szCs w:val="32"/>
        </w:rPr>
      </w:pPr>
      <w:r>
        <w:rPr>
          <w:rFonts w:eastAsia="楷体_GB2312"/>
          <w:color w:val="auto"/>
          <w:sz w:val="32"/>
          <w:szCs w:val="32"/>
        </w:rPr>
        <w:t>（202</w:t>
      </w:r>
      <w:r>
        <w:rPr>
          <w:rFonts w:hint="eastAsia" w:eastAsia="楷体_GB2312"/>
          <w:color w:val="auto"/>
          <w:sz w:val="32"/>
          <w:szCs w:val="32"/>
          <w:lang w:val="en-US" w:eastAsia="zh-CN"/>
        </w:rPr>
        <w:t>6</w:t>
      </w:r>
      <w:r>
        <w:rPr>
          <w:rFonts w:eastAsia="楷体_GB2312"/>
          <w:color w:val="auto"/>
          <w:sz w:val="32"/>
          <w:szCs w:val="32"/>
        </w:rPr>
        <w:t>年版）</w:t>
      </w:r>
      <w:bookmarkEnd w:id="0"/>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1 抽样方法</w:t>
      </w:r>
    </w:p>
    <w:p>
      <w:pPr>
        <w:adjustRightInd w:val="0"/>
        <w:snapToGrid w:val="0"/>
        <w:spacing w:line="590" w:lineRule="exact"/>
        <w:ind w:firstLine="640" w:firstLineChars="200"/>
        <w:rPr>
          <w:rFonts w:hint="eastAsia" w:eastAsia="仿宋_GB2312"/>
          <w:color w:val="auto"/>
          <w:sz w:val="32"/>
          <w:szCs w:val="32"/>
        </w:rPr>
      </w:pPr>
      <w:bookmarkStart w:id="1" w:name="OLE_LINK5"/>
      <w:r>
        <w:rPr>
          <w:rFonts w:hint="eastAsia" w:eastAsia="仿宋_GB2312"/>
          <w:color w:val="auto"/>
          <w:sz w:val="32"/>
          <w:szCs w:val="32"/>
        </w:rPr>
        <w:t>以随机抽样的方式在被抽样生产者、销售者的待销产品中抽取。</w:t>
      </w:r>
    </w:p>
    <w:p>
      <w:pPr>
        <w:adjustRightInd w:val="0"/>
        <w:snapToGrid w:val="0"/>
        <w:spacing w:line="590" w:lineRule="exact"/>
        <w:ind w:firstLine="640" w:firstLineChars="200"/>
        <w:rPr>
          <w:rFonts w:hint="eastAsia" w:eastAsia="仿宋_GB2312"/>
          <w:color w:val="auto"/>
          <w:sz w:val="32"/>
          <w:szCs w:val="32"/>
        </w:rPr>
      </w:pPr>
      <w:r>
        <w:rPr>
          <w:rFonts w:hint="eastAsia" w:eastAsia="仿宋_GB2312"/>
          <w:color w:val="auto"/>
          <w:sz w:val="32"/>
          <w:szCs w:val="32"/>
        </w:rPr>
        <w:t>随机数一般可使用随机数表等方法产生。</w:t>
      </w:r>
    </w:p>
    <w:p>
      <w:pPr>
        <w:adjustRightInd w:val="0"/>
        <w:snapToGrid w:val="0"/>
        <w:spacing w:line="590" w:lineRule="exact"/>
        <w:ind w:firstLine="640" w:firstLineChars="200"/>
        <w:rPr>
          <w:color w:val="auto"/>
        </w:rPr>
      </w:pPr>
      <w:r>
        <w:rPr>
          <w:rFonts w:hint="eastAsia" w:eastAsia="仿宋_GB2312"/>
          <w:color w:val="auto"/>
          <w:sz w:val="32"/>
          <w:szCs w:val="32"/>
        </w:rPr>
        <w:t>每批次产品抽取3卷，其中2卷作为检验样品，1卷作为备用样品。</w:t>
      </w:r>
      <w:bookmarkEnd w:id="1"/>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2 检验依据</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2329"/>
        <w:gridCol w:w="3073"/>
        <w:gridCol w:w="30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380" w:type="pct"/>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序号</w:t>
            </w:r>
          </w:p>
        </w:tc>
        <w:tc>
          <w:tcPr>
            <w:tcW w:w="1270" w:type="pct"/>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检验项目</w:t>
            </w:r>
          </w:p>
        </w:tc>
        <w:tc>
          <w:tcPr>
            <w:tcW w:w="1676" w:type="pct"/>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Times New Roman" w:hAnsi="Times New Roman" w:eastAsia="黑体" w:cs="Times New Roman"/>
                <w:color w:val="auto"/>
                <w:sz w:val="24"/>
              </w:rPr>
            </w:pPr>
            <w:r>
              <w:rPr>
                <w:rFonts w:hint="eastAsia" w:ascii="Times New Roman" w:hAnsi="Times New Roman" w:eastAsia="黑体" w:cs="Times New Roman"/>
                <w:color w:val="auto"/>
                <w:sz w:val="24"/>
              </w:rPr>
              <w:t>检验依据</w:t>
            </w:r>
          </w:p>
        </w:tc>
        <w:tc>
          <w:tcPr>
            <w:tcW w:w="1674" w:type="pct"/>
            <w:noWrap w:val="0"/>
            <w:vAlign w:val="center"/>
          </w:tcPr>
          <w:p>
            <w:pPr>
              <w:keepNext w:val="0"/>
              <w:keepLines w:val="0"/>
              <w:suppressLineNumbers w:val="0"/>
              <w:adjustRightInd w:val="0"/>
              <w:snapToGrid w:val="0"/>
              <w:spacing w:before="0" w:beforeAutospacing="0" w:after="0" w:afterAutospacing="0" w:line="400" w:lineRule="exact"/>
              <w:ind w:left="0" w:right="0"/>
              <w:jc w:val="center"/>
              <w:rPr>
                <w:rFonts w:hint="default" w:ascii="Times New Roman" w:hAnsi="Times New Roman" w:eastAsia="黑体" w:cs="Times New Roman"/>
                <w:color w:val="auto"/>
                <w:sz w:val="24"/>
              </w:rPr>
            </w:pPr>
            <w:r>
              <w:rPr>
                <w:rFonts w:hint="default" w:ascii="Times New Roman" w:hAnsi="Times New Roman" w:eastAsia="黑体" w:cs="Times New Roman"/>
                <w:color w:val="auto"/>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感官要求</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4806.7—2023</w:t>
            </w:r>
          </w:p>
        </w:tc>
        <w:tc>
          <w:tcPr>
            <w:tcW w:w="1674"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总迁移量</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4806.7—2023</w:t>
            </w:r>
          </w:p>
        </w:tc>
        <w:tc>
          <w:tcPr>
            <w:tcW w:w="1674" w:type="pct"/>
            <w:noWrap w:val="0"/>
            <w:vAlign w:val="center"/>
          </w:tcPr>
          <w:p>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高锰酸钾消耗量</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bookmarkStart w:id="2" w:name="OLE_LINK1"/>
            <w:r>
              <w:rPr>
                <w:rFonts w:hint="eastAsia" w:ascii="仿宋_GB2312" w:hAnsi="仿宋_GB2312" w:eastAsia="仿宋_GB2312" w:cs="仿宋_GB2312"/>
                <w:color w:val="auto"/>
                <w:sz w:val="24"/>
              </w:rPr>
              <w:t>GB 4806.7—2023</w:t>
            </w:r>
          </w:p>
        </w:tc>
        <w:tc>
          <w:tcPr>
            <w:tcW w:w="1674" w:type="pct"/>
            <w:noWrap w:val="0"/>
            <w:vAlign w:val="center"/>
          </w:tcPr>
          <w:p>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31604.2</w:t>
            </w:r>
            <w:bookmarkEnd w:id="2"/>
            <w:r>
              <w:rPr>
                <w:rFonts w:hint="eastAsia" w:ascii="仿宋_GB2312" w:hAnsi="仿宋_GB2312" w:eastAsia="仿宋_GB2312" w:cs="仿宋_GB2312"/>
                <w:color w:val="auto"/>
                <w:sz w:val="24"/>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重金属（以Pb计）</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4806.7—2023</w:t>
            </w:r>
          </w:p>
        </w:tc>
        <w:tc>
          <w:tcPr>
            <w:tcW w:w="1674" w:type="pct"/>
            <w:noWrap w:val="0"/>
            <w:vAlign w:val="center"/>
          </w:tcPr>
          <w:p>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芳香族伯胺迁移总量</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4806.7—2023</w:t>
            </w:r>
          </w:p>
        </w:tc>
        <w:tc>
          <w:tcPr>
            <w:tcW w:w="1674"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31604.52—2021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6</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脱色试验</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4806.7—2023</w:t>
            </w:r>
          </w:p>
        </w:tc>
        <w:tc>
          <w:tcPr>
            <w:tcW w:w="1674" w:type="pct"/>
            <w:noWrap w:val="0"/>
            <w:vAlign w:val="center"/>
          </w:tcPr>
          <w:p>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7</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氯乙烯特定迁移量（限PVC、PVDC材质）</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4806.7—2023</w:t>
            </w:r>
          </w:p>
        </w:tc>
        <w:tc>
          <w:tcPr>
            <w:tcW w:w="1674"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GB 31604.31—</w:t>
            </w:r>
            <w:r>
              <w:rPr>
                <w:rFonts w:hint="eastAsia" w:ascii="仿宋_GB2312" w:hAnsi="仿宋_GB2312" w:eastAsia="仿宋_GB2312" w:cs="仿宋_GB2312"/>
                <w:color w:val="auto"/>
                <w:sz w:val="24"/>
              </w:rPr>
              <w:t>20</w:t>
            </w:r>
            <w:r>
              <w:rPr>
                <w:rFonts w:hint="eastAsia" w:ascii="仿宋_GB2312" w:hAnsi="仿宋_GB2312" w:eastAsia="仿宋_GB2312" w:cs="仿宋_GB2312"/>
                <w:color w:val="auto"/>
                <w:sz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邻苯类增塑剂特定迁移量(限PVC材质)</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9685—2016</w:t>
            </w:r>
          </w:p>
        </w:tc>
        <w:tc>
          <w:tcPr>
            <w:tcW w:w="1674" w:type="pct"/>
            <w:noWrap w:val="0"/>
            <w:vAlign w:val="center"/>
          </w:tcPr>
          <w:p>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31604.30—2025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特定迁移总量</w:t>
            </w:r>
          </w:p>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 xml:space="preserve">(以对苯二甲酸计) </w:t>
            </w:r>
          </w:p>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（限PBT材质）</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bookmarkStart w:id="3" w:name="OLE_LINK2"/>
            <w:r>
              <w:rPr>
                <w:rFonts w:hint="eastAsia" w:ascii="仿宋_GB2312" w:hAnsi="仿宋_GB2312" w:eastAsia="仿宋_GB2312" w:cs="仿宋_GB2312"/>
                <w:color w:val="auto"/>
                <w:sz w:val="24"/>
              </w:rPr>
              <w:t>GB 4806.7—2023</w:t>
            </w:r>
          </w:p>
        </w:tc>
        <w:tc>
          <w:tcPr>
            <w:tcW w:w="1674" w:type="pct"/>
            <w:noWrap w:val="0"/>
            <w:vAlign w:val="center"/>
          </w:tcPr>
          <w:p>
            <w:pPr>
              <w:keepNext w:val="0"/>
              <w:keepLines w:val="0"/>
              <w:suppressLineNumbers w:val="0"/>
              <w:snapToGrid w:val="0"/>
              <w:spacing w:before="0" w:beforeAutospacing="0" w:after="0" w:afterAutospacing="0"/>
              <w:ind w:left="0" w:right="0"/>
              <w:jc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rPr>
              <w:t>GB 31604.21</w:t>
            </w:r>
            <w:bookmarkEnd w:id="3"/>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rPr>
              <w:t>20</w:t>
            </w:r>
            <w:r>
              <w:rPr>
                <w:rFonts w:hint="eastAsia" w:ascii="仿宋_GB2312" w:hAnsi="仿宋_GB2312" w:eastAsia="仿宋_GB2312" w:cs="仿宋_GB2312"/>
                <w:color w:val="auto"/>
                <w:sz w:val="24"/>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10</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特定迁移总量（以1,4-丁二醇计）（限PBT材质）</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4806.7—2023</w:t>
            </w:r>
          </w:p>
        </w:tc>
        <w:tc>
          <w:tcPr>
            <w:tcW w:w="1674" w:type="pct"/>
            <w:noWrap w:val="0"/>
            <w:vAlign w:val="center"/>
          </w:tcPr>
          <w:p>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 31604.51—2021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11</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阻隔性能（氧气）</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10457—2021</w:t>
            </w:r>
          </w:p>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bidi="ar"/>
              </w:rPr>
              <w:t>GB/T 24334—2009</w:t>
            </w:r>
          </w:p>
        </w:tc>
        <w:tc>
          <w:tcPr>
            <w:tcW w:w="1674"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1038—2000</w:t>
            </w:r>
          </w:p>
          <w:p>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1038.1—2022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380" w:type="pct"/>
            <w:noWrap w:val="0"/>
            <w:vAlign w:val="center"/>
          </w:tcPr>
          <w:p>
            <w:pPr>
              <w:keepNext w:val="0"/>
              <w:keepLines w:val="0"/>
              <w:suppressLineNumbers w:val="0"/>
              <w:snapToGrid w:val="0"/>
              <w:spacing w:before="0" w:beforeAutospacing="0" w:after="0" w:afterAutospacing="0" w:line="440" w:lineRule="exact"/>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12</w:t>
            </w:r>
          </w:p>
        </w:tc>
        <w:tc>
          <w:tcPr>
            <w:tcW w:w="1270" w:type="pct"/>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kern w:val="0"/>
                <w:sz w:val="24"/>
              </w:rPr>
            </w:pPr>
            <w:r>
              <w:rPr>
                <w:rFonts w:hint="eastAsia" w:ascii="仿宋_GB2312" w:hAnsi="仿宋_GB2312" w:eastAsia="仿宋_GB2312" w:cs="仿宋_GB2312"/>
                <w:color w:val="auto"/>
                <w:kern w:val="0"/>
                <w:sz w:val="24"/>
              </w:rPr>
              <w:t>阻隔性能（水蒸气）</w:t>
            </w:r>
          </w:p>
        </w:tc>
        <w:tc>
          <w:tcPr>
            <w:tcW w:w="3071" w:type="dxa"/>
            <w:noWrap w:val="0"/>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10457—2021</w:t>
            </w:r>
          </w:p>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bidi="ar"/>
              </w:rPr>
              <w:t>GB/T 24334—2009</w:t>
            </w:r>
          </w:p>
        </w:tc>
        <w:tc>
          <w:tcPr>
            <w:tcW w:w="1674"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1037—1988</w:t>
            </w:r>
          </w:p>
          <w:p>
            <w:pPr>
              <w:keepNext w:val="0"/>
              <w:keepLines w:val="0"/>
              <w:suppressLineNumbers w:val="0"/>
              <w:snapToGrid w:val="0"/>
              <w:spacing w:before="0" w:beforeAutospacing="0" w:after="0" w:afterAutospacing="0"/>
              <w:ind w:left="0" w:right="0"/>
              <w:jc w:val="cente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GB/T 1037—2021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 w:type="pct"/>
            <w:gridSpan w:val="4"/>
            <w:noWrap w:val="0"/>
            <w:vAlign w:val="center"/>
          </w:tcPr>
          <w:p>
            <w:pPr>
              <w:keepNext w:val="0"/>
              <w:keepLines w:val="0"/>
              <w:suppressLineNumbers w:val="0"/>
              <w:adjustRightInd w:val="0"/>
              <w:snapToGrid w:val="0"/>
              <w:spacing w:before="0" w:beforeAutospacing="0" w:after="0" w:afterAutospacing="0"/>
              <w:ind w:left="0" w:right="0"/>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注：1.高锰酸钾消耗量不适用于淀粉含量≥40%的淀粉基塑料材料及制品。</w:t>
            </w:r>
          </w:p>
          <w:p>
            <w:pPr>
              <w:keepNext w:val="0"/>
              <w:keepLines w:val="0"/>
              <w:suppressLineNumbers w:val="0"/>
              <w:adjustRightInd w:val="0"/>
              <w:snapToGrid w:val="0"/>
              <w:spacing w:before="0" w:beforeAutospacing="0" w:after="0" w:afterAutospacing="0"/>
              <w:ind w:left="0" w:right="0" w:firstLine="480" w:firstLineChars="200"/>
              <w:jc w:val="left"/>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2</w:t>
            </w:r>
            <w:r>
              <w:rPr>
                <w:rFonts w:hint="eastAsia" w:ascii="仿宋_GB2312" w:hAnsi="仿宋_GB2312" w:eastAsia="仿宋_GB2312" w:cs="仿宋_GB2312"/>
                <w:color w:val="auto"/>
                <w:sz w:val="24"/>
              </w:rPr>
              <w:t>.脱色试验项目仅适用于添加着色剂的产品</w:t>
            </w:r>
            <w:r>
              <w:rPr>
                <w:rFonts w:hint="eastAsia" w:ascii="仿宋_GB2312" w:hAnsi="仿宋_GB2312" w:eastAsia="仿宋_GB2312" w:cs="仿宋_GB2312"/>
                <w:color w:val="auto"/>
                <w:sz w:val="24"/>
                <w:lang w:eastAsia="zh-CN"/>
              </w:rPr>
              <w:t>。</w:t>
            </w:r>
          </w:p>
        </w:tc>
      </w:tr>
    </w:tbl>
    <w:p>
      <w:pPr>
        <w:autoSpaceDE w:val="0"/>
        <w:autoSpaceDN w:val="0"/>
        <w:adjustRightInd w:val="0"/>
        <w:spacing w:line="590" w:lineRule="exact"/>
        <w:ind w:firstLine="640" w:firstLineChars="200"/>
        <w:rPr>
          <w:rFonts w:eastAsia="仿宋_GB2312"/>
          <w:color w:val="auto"/>
          <w:sz w:val="32"/>
          <w:szCs w:val="32"/>
        </w:rPr>
      </w:pPr>
      <w:bookmarkStart w:id="4" w:name="_Hlk40347690"/>
      <w:r>
        <w:rPr>
          <w:rFonts w:eastAsia="仿宋_GB2312"/>
          <w:color w:val="auto"/>
          <w:sz w:val="32"/>
          <w:szCs w:val="32"/>
        </w:rPr>
        <w:t>执行企业标准、团体标准、地方标准的产品，检验项目参照上述内容执行。</w:t>
      </w:r>
      <w:bookmarkEnd w:id="4"/>
    </w:p>
    <w:p>
      <w:pPr>
        <w:autoSpaceDE w:val="0"/>
        <w:autoSpaceDN w:val="0"/>
        <w:adjustRightInd w:val="0"/>
        <w:spacing w:line="590" w:lineRule="exact"/>
        <w:ind w:firstLine="640" w:firstLineChars="200"/>
        <w:rPr>
          <w:color w:val="auto"/>
        </w:rPr>
      </w:pPr>
      <w:r>
        <w:rPr>
          <w:rFonts w:eastAsia="仿宋_GB2312"/>
          <w:color w:val="auto"/>
          <w:sz w:val="32"/>
          <w:szCs w:val="32"/>
        </w:rPr>
        <w:t>凡是注日期的文件，其随后所有的修改单（不包括勘误的内容）或修订版不适用于本细则。凡是不注日期的文件，其最新版本适用于本细则。</w:t>
      </w:r>
    </w:p>
    <w:p>
      <w:pPr>
        <w:snapToGrid w:val="0"/>
        <w:spacing w:line="590" w:lineRule="exact"/>
        <w:ind w:firstLine="640" w:firstLineChars="200"/>
        <w:rPr>
          <w:rFonts w:hint="eastAsia" w:eastAsia="黑体"/>
          <w:color w:val="auto"/>
          <w:sz w:val="32"/>
          <w:szCs w:val="32"/>
        </w:rPr>
      </w:pPr>
      <w:r>
        <w:rPr>
          <w:rFonts w:hint="eastAsia" w:eastAsia="黑体"/>
          <w:color w:val="auto"/>
          <w:sz w:val="32"/>
          <w:szCs w:val="32"/>
        </w:rPr>
        <w:t>3 判定规则</w:t>
      </w:r>
    </w:p>
    <w:p>
      <w:pPr>
        <w:adjustRightInd w:val="0"/>
        <w:snapToGrid w:val="0"/>
        <w:spacing w:line="590" w:lineRule="exact"/>
        <w:ind w:firstLine="640" w:firstLineChars="200"/>
        <w:rPr>
          <w:rFonts w:eastAsia="仿宋_GB2312"/>
          <w:color w:val="auto"/>
          <w:sz w:val="32"/>
          <w:szCs w:val="32"/>
        </w:rPr>
      </w:pPr>
      <w:r>
        <w:rPr>
          <w:rFonts w:eastAsia="仿宋_GB2312"/>
          <w:color w:val="auto"/>
          <w:sz w:val="32"/>
          <w:szCs w:val="32"/>
        </w:rPr>
        <w:t>3.1依据标准</w:t>
      </w:r>
    </w:p>
    <w:p>
      <w:pPr>
        <w:spacing w:line="590" w:lineRule="exact"/>
        <w:ind w:firstLine="640" w:firstLineChars="200"/>
        <w:rPr>
          <w:rFonts w:eastAsia="仿宋_GB2312"/>
          <w:color w:val="auto"/>
          <w:sz w:val="32"/>
          <w:szCs w:val="32"/>
          <w:lang w:bidi="ar"/>
        </w:rPr>
      </w:pPr>
      <w:bookmarkStart w:id="5" w:name="OLE_LINK3"/>
      <w:r>
        <w:rPr>
          <w:rFonts w:eastAsia="仿宋_GB2312"/>
          <w:color w:val="auto"/>
          <w:sz w:val="32"/>
          <w:szCs w:val="32"/>
          <w:lang w:bidi="ar"/>
        </w:rPr>
        <w:t xml:space="preserve">GB 4806.7—2023 </w:t>
      </w:r>
      <w:r>
        <w:rPr>
          <w:rFonts w:eastAsia="仿宋_GB2312"/>
          <w:color w:val="auto"/>
          <w:sz w:val="32"/>
          <w:szCs w:val="32"/>
          <w:lang w:bidi="ar"/>
        </w:rPr>
        <w:fldChar w:fldCharType="begin"/>
      </w:r>
      <w:r>
        <w:rPr>
          <w:rFonts w:eastAsia="仿宋_GB2312"/>
          <w:color w:val="auto"/>
          <w:sz w:val="32"/>
          <w:szCs w:val="32"/>
          <w:lang w:bidi="ar"/>
        </w:rPr>
        <w:instrText xml:space="preserve"> HYPERLINK "http://www.bzsb.info/searchStandard.do" </w:instrText>
      </w:r>
      <w:r>
        <w:rPr>
          <w:rFonts w:eastAsia="仿宋_GB2312"/>
          <w:color w:val="auto"/>
          <w:sz w:val="32"/>
          <w:szCs w:val="32"/>
          <w:lang w:bidi="ar"/>
        </w:rPr>
        <w:fldChar w:fldCharType="separate"/>
      </w:r>
      <w:r>
        <w:rPr>
          <w:rFonts w:eastAsia="仿宋_GB2312"/>
          <w:color w:val="auto"/>
          <w:sz w:val="32"/>
          <w:szCs w:val="32"/>
          <w:lang w:bidi="ar"/>
        </w:rPr>
        <w:t>食品安全国家标准 食品接触用塑料材料及制品</w:t>
      </w:r>
      <w:r>
        <w:rPr>
          <w:rFonts w:eastAsia="仿宋_GB2312"/>
          <w:color w:val="auto"/>
          <w:sz w:val="32"/>
          <w:szCs w:val="32"/>
          <w:lang w:bidi="ar"/>
        </w:rPr>
        <w:fldChar w:fldCharType="end"/>
      </w:r>
    </w:p>
    <w:p>
      <w:pPr>
        <w:spacing w:line="590" w:lineRule="exact"/>
        <w:ind w:firstLine="640" w:firstLineChars="200"/>
        <w:rPr>
          <w:rFonts w:eastAsia="仿宋_GB2312"/>
          <w:color w:val="auto"/>
          <w:sz w:val="32"/>
          <w:szCs w:val="32"/>
          <w:lang w:bidi="ar"/>
        </w:rPr>
      </w:pPr>
      <w:r>
        <w:rPr>
          <w:rFonts w:eastAsia="仿宋_GB2312"/>
          <w:color w:val="auto"/>
          <w:sz w:val="32"/>
          <w:szCs w:val="32"/>
          <w:lang w:bidi="ar"/>
        </w:rPr>
        <w:t>GB 9685—2016 食品安全国家标准 食品接触材料及制品用添加剂使用标准</w:t>
      </w:r>
    </w:p>
    <w:p>
      <w:pPr>
        <w:spacing w:line="590" w:lineRule="exact"/>
        <w:ind w:firstLine="640" w:firstLineChars="200"/>
        <w:rPr>
          <w:rFonts w:eastAsia="仿宋_GB2312"/>
          <w:color w:val="auto"/>
          <w:sz w:val="32"/>
          <w:szCs w:val="32"/>
          <w:lang w:bidi="ar"/>
        </w:rPr>
      </w:pPr>
      <w:r>
        <w:rPr>
          <w:rFonts w:eastAsia="仿宋_GB2312"/>
          <w:color w:val="auto"/>
          <w:sz w:val="32"/>
          <w:szCs w:val="32"/>
          <w:lang w:bidi="ar"/>
        </w:rPr>
        <w:t>GB/T 10457—2021 食品用塑料自粘保鲜膜质量通则</w:t>
      </w:r>
    </w:p>
    <w:p>
      <w:pPr>
        <w:spacing w:line="590" w:lineRule="exact"/>
        <w:ind w:firstLine="640" w:firstLineChars="200"/>
        <w:rPr>
          <w:rFonts w:eastAsia="仿宋_GB2312"/>
          <w:color w:val="auto"/>
          <w:sz w:val="32"/>
          <w:szCs w:val="32"/>
          <w:lang w:bidi="ar"/>
        </w:rPr>
      </w:pPr>
      <w:bookmarkStart w:id="6" w:name="OLE_LINK7"/>
      <w:r>
        <w:rPr>
          <w:rFonts w:eastAsia="仿宋_GB2312"/>
          <w:color w:val="auto"/>
          <w:sz w:val="32"/>
          <w:szCs w:val="32"/>
          <w:lang w:bidi="ar"/>
        </w:rPr>
        <w:t>GB/T 24334</w:t>
      </w:r>
      <w:bookmarkEnd w:id="6"/>
      <w:r>
        <w:rPr>
          <w:rFonts w:eastAsia="仿宋_GB2312"/>
          <w:color w:val="auto"/>
          <w:sz w:val="32"/>
          <w:szCs w:val="32"/>
          <w:lang w:bidi="ar"/>
        </w:rPr>
        <w:t xml:space="preserve">—2009 </w:t>
      </w:r>
      <w:r>
        <w:rPr>
          <w:rFonts w:hint="eastAsia" w:eastAsia="仿宋_GB2312"/>
          <w:color w:val="auto"/>
          <w:sz w:val="32"/>
          <w:szCs w:val="32"/>
          <w:lang w:bidi="ar"/>
        </w:rPr>
        <w:t>聚偏二氯乙烯（</w:t>
      </w:r>
      <w:r>
        <w:rPr>
          <w:rFonts w:eastAsia="仿宋_GB2312"/>
          <w:color w:val="auto"/>
          <w:sz w:val="32"/>
          <w:szCs w:val="32"/>
          <w:lang w:bidi="ar"/>
        </w:rPr>
        <w:t>PVDC</w:t>
      </w:r>
      <w:r>
        <w:rPr>
          <w:rFonts w:hint="eastAsia" w:eastAsia="仿宋_GB2312"/>
          <w:color w:val="auto"/>
          <w:sz w:val="32"/>
          <w:szCs w:val="32"/>
          <w:lang w:bidi="ar"/>
        </w:rPr>
        <w:t>）自粘性食品包装膜</w:t>
      </w:r>
    </w:p>
    <w:bookmarkEnd w:id="5"/>
    <w:p>
      <w:pPr>
        <w:spacing w:line="590" w:lineRule="exact"/>
        <w:ind w:firstLine="640" w:firstLineChars="200"/>
        <w:rPr>
          <w:rFonts w:eastAsia="仿宋_GB2312"/>
          <w:color w:val="auto"/>
          <w:sz w:val="32"/>
          <w:szCs w:val="32"/>
          <w:lang w:bidi="ar"/>
        </w:rPr>
      </w:pPr>
      <w:bookmarkStart w:id="7" w:name="OLE_LINK4"/>
      <w:r>
        <w:rPr>
          <w:rFonts w:eastAsia="仿宋_GB2312"/>
          <w:color w:val="auto"/>
          <w:sz w:val="32"/>
          <w:szCs w:val="32"/>
          <w:lang w:bidi="ar"/>
        </w:rPr>
        <w:t>现行有效的企业标准、团体标准、地方标准及产品明示质量要求</w:t>
      </w:r>
      <w:bookmarkEnd w:id="7"/>
    </w:p>
    <w:p>
      <w:pPr>
        <w:adjustRightInd w:val="0"/>
        <w:snapToGrid w:val="0"/>
        <w:spacing w:line="590" w:lineRule="exact"/>
        <w:ind w:firstLine="640" w:firstLineChars="200"/>
        <w:rPr>
          <w:rFonts w:eastAsia="仿宋_GB2312"/>
          <w:color w:val="auto"/>
          <w:sz w:val="32"/>
          <w:szCs w:val="32"/>
        </w:rPr>
      </w:pPr>
      <w:r>
        <w:rPr>
          <w:rFonts w:eastAsia="仿宋_GB2312"/>
          <w:color w:val="auto"/>
          <w:sz w:val="32"/>
          <w:szCs w:val="32"/>
        </w:rPr>
        <w:t>3.2判定原则</w:t>
      </w:r>
    </w:p>
    <w:p>
      <w:pPr>
        <w:spacing w:line="590" w:lineRule="exact"/>
        <w:ind w:firstLine="640" w:firstLineChars="200"/>
        <w:rPr>
          <w:rFonts w:eastAsia="仿宋_GB2312"/>
          <w:color w:val="auto"/>
          <w:sz w:val="32"/>
          <w:szCs w:val="32"/>
        </w:rPr>
      </w:pPr>
      <w:r>
        <w:rPr>
          <w:rFonts w:eastAsia="仿宋_GB2312"/>
          <w:color w:val="auto"/>
          <w:sz w:val="32"/>
          <w:szCs w:val="32"/>
        </w:rPr>
        <w:t>经检验，检验项目全部合格，判定为被抽查产品所检项目未发现不合格；检验项目中任一项或一项以上不合格，判定为被抽查产品不合格。</w:t>
      </w:r>
    </w:p>
    <w:p>
      <w:pPr>
        <w:spacing w:line="590" w:lineRule="exact"/>
        <w:ind w:firstLine="640" w:firstLineChars="200"/>
        <w:rPr>
          <w:rFonts w:eastAsia="仿宋_GB2312"/>
          <w:color w:val="auto"/>
          <w:sz w:val="32"/>
          <w:szCs w:val="32"/>
        </w:rPr>
      </w:pPr>
      <w:r>
        <w:rPr>
          <w:rFonts w:eastAsia="仿宋_GB2312"/>
          <w:color w:val="auto"/>
          <w:sz w:val="32"/>
          <w:szCs w:val="32"/>
        </w:rPr>
        <w:t>若被检产品明示的质量要求高于本细则中检验项目依据的标准要求时，应按被检产品明示的质量要求判定。</w:t>
      </w:r>
    </w:p>
    <w:p>
      <w:pPr>
        <w:spacing w:line="590" w:lineRule="exact"/>
        <w:ind w:firstLine="640" w:firstLineChars="200"/>
        <w:rPr>
          <w:rFonts w:eastAsia="仿宋_GB2312"/>
          <w:color w:val="auto"/>
          <w:sz w:val="32"/>
          <w:szCs w:val="32"/>
        </w:rPr>
      </w:pPr>
      <w:r>
        <w:rPr>
          <w:rFonts w:eastAsia="仿宋_GB2312"/>
          <w:color w:val="auto"/>
          <w:sz w:val="32"/>
          <w:szCs w:val="32"/>
        </w:rPr>
        <w:t>若被检产品明示的质量要求低于本细则中检验项目依据的强制性标准要求时，应按照强制性标准要求判定。</w:t>
      </w:r>
    </w:p>
    <w:p>
      <w:pPr>
        <w:spacing w:line="590" w:lineRule="exact"/>
        <w:ind w:firstLine="640" w:firstLineChars="200"/>
        <w:rPr>
          <w:rFonts w:eastAsia="仿宋_GB2312"/>
          <w:color w:val="auto"/>
          <w:sz w:val="32"/>
          <w:szCs w:val="32"/>
        </w:rPr>
      </w:pPr>
      <w:r>
        <w:rPr>
          <w:rFonts w:eastAsia="仿宋_GB2312"/>
          <w:color w:val="auto"/>
          <w:sz w:val="32"/>
          <w:szCs w:val="32"/>
        </w:rPr>
        <w:t>若被检产品明示的质量要求低于或包含本细则中检验项目依据的推荐性标准要求时，应以被检产品明示的质量要求判定。</w:t>
      </w:r>
    </w:p>
    <w:p>
      <w:pPr>
        <w:spacing w:line="590" w:lineRule="exact"/>
        <w:ind w:firstLine="640" w:firstLineChars="200"/>
        <w:rPr>
          <w:rFonts w:eastAsia="仿宋_GB2312"/>
          <w:color w:val="auto"/>
          <w:sz w:val="32"/>
          <w:szCs w:val="32"/>
        </w:rPr>
      </w:pPr>
      <w:r>
        <w:rPr>
          <w:rFonts w:eastAsia="仿宋_GB2312"/>
          <w:color w:val="auto"/>
          <w:sz w:val="32"/>
          <w:szCs w:val="32"/>
        </w:rPr>
        <w:t>若被检产品明示的质量要求缺少本细则中检验项目依据的强制性标准要求时，应按照强制性标准要求判定。</w:t>
      </w:r>
    </w:p>
    <w:p>
      <w:pPr>
        <w:spacing w:line="590" w:lineRule="exact"/>
        <w:ind w:firstLine="640" w:firstLineChars="200"/>
        <w:rPr>
          <w:rFonts w:eastAsia="仿宋_GB2312"/>
          <w:color w:val="auto"/>
          <w:sz w:val="32"/>
          <w:szCs w:val="32"/>
        </w:rPr>
      </w:pPr>
      <w:r>
        <w:rPr>
          <w:rFonts w:eastAsia="仿宋_GB2312"/>
          <w:color w:val="auto"/>
          <w:sz w:val="32"/>
          <w:szCs w:val="32"/>
        </w:rPr>
        <w:t>若被检产品明示的质量要求缺少本细则中检验项目依据的推荐性标准要求时，该项目不参与判定。</w:t>
      </w:r>
    </w:p>
    <w:p>
      <w:pPr>
        <w:spacing w:line="590" w:lineRule="exact"/>
        <w:ind w:firstLine="640" w:firstLineChars="200"/>
        <w:rPr>
          <w:rFonts w:eastAsia="仿宋_GB2312"/>
          <w:color w:val="auto"/>
          <w:sz w:val="32"/>
          <w:szCs w:val="32"/>
        </w:rPr>
      </w:pPr>
    </w:p>
    <w:p>
      <w:pPr>
        <w:spacing w:line="590" w:lineRule="exact"/>
        <w:ind w:firstLine="640" w:firstLineChars="200"/>
        <w:rPr>
          <w:rFonts w:eastAsia="仿宋_GB2312"/>
          <w:color w:val="auto"/>
          <w:sz w:val="32"/>
          <w:szCs w:val="32"/>
        </w:rPr>
      </w:pPr>
    </w:p>
    <w:bookmarkEnd w:id="8"/>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2A5D3E9-35E0-4CCC-AA7E-6E95F58E0C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embedRegular r:id="rId2" w:fontKey="{0B4A6533-B540-4CC5-836F-11CCAE9F7B4F}"/>
  </w:font>
  <w:font w:name="楷体_GB2312">
    <w:panose1 w:val="02010609030101010101"/>
    <w:charset w:val="86"/>
    <w:family w:val="modern"/>
    <w:pitch w:val="default"/>
    <w:sig w:usb0="00000001" w:usb1="080E0000" w:usb2="00000000" w:usb3="00000000" w:csb0="00040000" w:csb1="00000000"/>
    <w:embedRegular r:id="rId3" w:fontKey="{C43AE92C-E90B-493B-90DB-DF61C26038C9}"/>
  </w:font>
  <w:font w:name="仿宋_GB2312">
    <w:panose1 w:val="02010609030101010101"/>
    <w:charset w:val="86"/>
    <w:family w:val="modern"/>
    <w:pitch w:val="default"/>
    <w:sig w:usb0="00000001" w:usb1="080E0000" w:usb2="00000000" w:usb3="00000000" w:csb0="00040000" w:csb1="00000000"/>
    <w:embedRegular r:id="rId4" w:fontKey="{F226BB77-2DB7-4C92-9352-EE775602E80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NGE3NzhjZmRkZWIxOTQ3NWQ3ZGM1NDJlYzkwOTUifQ=="/>
  </w:docVars>
  <w:rsids>
    <w:rsidRoot w:val="00172A27"/>
    <w:rsid w:val="00002937"/>
    <w:rsid w:val="00040960"/>
    <w:rsid w:val="00044FA2"/>
    <w:rsid w:val="00051A44"/>
    <w:rsid w:val="00062BB8"/>
    <w:rsid w:val="000764C8"/>
    <w:rsid w:val="00081327"/>
    <w:rsid w:val="00081CBD"/>
    <w:rsid w:val="00087B41"/>
    <w:rsid w:val="000976DE"/>
    <w:rsid w:val="000A0332"/>
    <w:rsid w:val="000A202E"/>
    <w:rsid w:val="000A7926"/>
    <w:rsid w:val="000C1681"/>
    <w:rsid w:val="000C36FF"/>
    <w:rsid w:val="000C6F63"/>
    <w:rsid w:val="000D2463"/>
    <w:rsid w:val="000D6AAD"/>
    <w:rsid w:val="000E3CA3"/>
    <w:rsid w:val="000E6B04"/>
    <w:rsid w:val="000E7EAE"/>
    <w:rsid w:val="000F592A"/>
    <w:rsid w:val="00102808"/>
    <w:rsid w:val="00103686"/>
    <w:rsid w:val="00107C87"/>
    <w:rsid w:val="00110091"/>
    <w:rsid w:val="00122957"/>
    <w:rsid w:val="00123D1C"/>
    <w:rsid w:val="001261B5"/>
    <w:rsid w:val="00144448"/>
    <w:rsid w:val="00150ADC"/>
    <w:rsid w:val="0015434E"/>
    <w:rsid w:val="001664C5"/>
    <w:rsid w:val="00174738"/>
    <w:rsid w:val="001809DD"/>
    <w:rsid w:val="001950A8"/>
    <w:rsid w:val="00201066"/>
    <w:rsid w:val="0021498B"/>
    <w:rsid w:val="00220DBC"/>
    <w:rsid w:val="002219D8"/>
    <w:rsid w:val="00232530"/>
    <w:rsid w:val="00252ED8"/>
    <w:rsid w:val="00253624"/>
    <w:rsid w:val="00277F12"/>
    <w:rsid w:val="00280D0C"/>
    <w:rsid w:val="002813A2"/>
    <w:rsid w:val="00283E16"/>
    <w:rsid w:val="00287B7E"/>
    <w:rsid w:val="00287F77"/>
    <w:rsid w:val="002B4F1B"/>
    <w:rsid w:val="002C3365"/>
    <w:rsid w:val="002D4E02"/>
    <w:rsid w:val="002D7F8A"/>
    <w:rsid w:val="002E0D1D"/>
    <w:rsid w:val="003203A3"/>
    <w:rsid w:val="00324935"/>
    <w:rsid w:val="00343C3F"/>
    <w:rsid w:val="00352796"/>
    <w:rsid w:val="00363D2D"/>
    <w:rsid w:val="00365449"/>
    <w:rsid w:val="00365CBE"/>
    <w:rsid w:val="00366C4F"/>
    <w:rsid w:val="003715C0"/>
    <w:rsid w:val="003719ED"/>
    <w:rsid w:val="003A7D30"/>
    <w:rsid w:val="003C388C"/>
    <w:rsid w:val="003D09A1"/>
    <w:rsid w:val="003E61BF"/>
    <w:rsid w:val="00407AD4"/>
    <w:rsid w:val="004104AC"/>
    <w:rsid w:val="00413958"/>
    <w:rsid w:val="00431A13"/>
    <w:rsid w:val="00437AB8"/>
    <w:rsid w:val="00442B42"/>
    <w:rsid w:val="00443DF6"/>
    <w:rsid w:val="00445E86"/>
    <w:rsid w:val="004475E7"/>
    <w:rsid w:val="004503F9"/>
    <w:rsid w:val="0045434D"/>
    <w:rsid w:val="004671D4"/>
    <w:rsid w:val="00474E04"/>
    <w:rsid w:val="00483040"/>
    <w:rsid w:val="004A0B83"/>
    <w:rsid w:val="004A4AF8"/>
    <w:rsid w:val="004B56C2"/>
    <w:rsid w:val="004B7547"/>
    <w:rsid w:val="004D0C5A"/>
    <w:rsid w:val="004D184C"/>
    <w:rsid w:val="004E1248"/>
    <w:rsid w:val="004E1396"/>
    <w:rsid w:val="004E6C21"/>
    <w:rsid w:val="004E70A8"/>
    <w:rsid w:val="004F1DAD"/>
    <w:rsid w:val="004F1EA8"/>
    <w:rsid w:val="004F5139"/>
    <w:rsid w:val="00563EBC"/>
    <w:rsid w:val="00565FAE"/>
    <w:rsid w:val="00590FB0"/>
    <w:rsid w:val="005A4757"/>
    <w:rsid w:val="005B1A67"/>
    <w:rsid w:val="005B78C7"/>
    <w:rsid w:val="005C4056"/>
    <w:rsid w:val="005C42F8"/>
    <w:rsid w:val="005D33F8"/>
    <w:rsid w:val="005D7192"/>
    <w:rsid w:val="005E02CB"/>
    <w:rsid w:val="005E1951"/>
    <w:rsid w:val="005E4D64"/>
    <w:rsid w:val="005E6F90"/>
    <w:rsid w:val="005F6634"/>
    <w:rsid w:val="0060464E"/>
    <w:rsid w:val="0064340D"/>
    <w:rsid w:val="0065467B"/>
    <w:rsid w:val="006607AB"/>
    <w:rsid w:val="006B35CB"/>
    <w:rsid w:val="006C31A1"/>
    <w:rsid w:val="006E1171"/>
    <w:rsid w:val="006F0971"/>
    <w:rsid w:val="006F2643"/>
    <w:rsid w:val="00700E38"/>
    <w:rsid w:val="00705A16"/>
    <w:rsid w:val="0072334C"/>
    <w:rsid w:val="007828B6"/>
    <w:rsid w:val="007A2BA9"/>
    <w:rsid w:val="007A66A6"/>
    <w:rsid w:val="007C1E55"/>
    <w:rsid w:val="007D670C"/>
    <w:rsid w:val="007E3DB0"/>
    <w:rsid w:val="00800641"/>
    <w:rsid w:val="008048E9"/>
    <w:rsid w:val="00812D37"/>
    <w:rsid w:val="00830553"/>
    <w:rsid w:val="00831014"/>
    <w:rsid w:val="00852E43"/>
    <w:rsid w:val="00857B36"/>
    <w:rsid w:val="00861D5B"/>
    <w:rsid w:val="008764E0"/>
    <w:rsid w:val="00876F73"/>
    <w:rsid w:val="00877ABC"/>
    <w:rsid w:val="00886405"/>
    <w:rsid w:val="008917CC"/>
    <w:rsid w:val="0089395E"/>
    <w:rsid w:val="00895BEA"/>
    <w:rsid w:val="008A3497"/>
    <w:rsid w:val="008D3AA1"/>
    <w:rsid w:val="00917A54"/>
    <w:rsid w:val="00930016"/>
    <w:rsid w:val="009303A2"/>
    <w:rsid w:val="0094026C"/>
    <w:rsid w:val="00950D9D"/>
    <w:rsid w:val="00957113"/>
    <w:rsid w:val="00976006"/>
    <w:rsid w:val="009935AF"/>
    <w:rsid w:val="009973E6"/>
    <w:rsid w:val="009A600B"/>
    <w:rsid w:val="009B58C9"/>
    <w:rsid w:val="009C3121"/>
    <w:rsid w:val="009D2DCB"/>
    <w:rsid w:val="009E5A19"/>
    <w:rsid w:val="009E76A7"/>
    <w:rsid w:val="009F0309"/>
    <w:rsid w:val="00A23D98"/>
    <w:rsid w:val="00A30380"/>
    <w:rsid w:val="00A41817"/>
    <w:rsid w:val="00A43553"/>
    <w:rsid w:val="00A600C7"/>
    <w:rsid w:val="00A6042F"/>
    <w:rsid w:val="00A62F63"/>
    <w:rsid w:val="00A665B1"/>
    <w:rsid w:val="00A94394"/>
    <w:rsid w:val="00AA5506"/>
    <w:rsid w:val="00AB1C77"/>
    <w:rsid w:val="00AB6AA0"/>
    <w:rsid w:val="00AC0EB3"/>
    <w:rsid w:val="00AC3376"/>
    <w:rsid w:val="00AC5391"/>
    <w:rsid w:val="00AF00EC"/>
    <w:rsid w:val="00B107CB"/>
    <w:rsid w:val="00B3366B"/>
    <w:rsid w:val="00B36042"/>
    <w:rsid w:val="00B44262"/>
    <w:rsid w:val="00B54E3D"/>
    <w:rsid w:val="00B65F23"/>
    <w:rsid w:val="00B7566B"/>
    <w:rsid w:val="00B83B02"/>
    <w:rsid w:val="00BA36E8"/>
    <w:rsid w:val="00BA5C6F"/>
    <w:rsid w:val="00BB0610"/>
    <w:rsid w:val="00BB7677"/>
    <w:rsid w:val="00BD5BF6"/>
    <w:rsid w:val="00BF2B8C"/>
    <w:rsid w:val="00C06B92"/>
    <w:rsid w:val="00C17441"/>
    <w:rsid w:val="00C23610"/>
    <w:rsid w:val="00C26074"/>
    <w:rsid w:val="00C47F00"/>
    <w:rsid w:val="00C539E0"/>
    <w:rsid w:val="00C5778E"/>
    <w:rsid w:val="00C720C4"/>
    <w:rsid w:val="00C83B0A"/>
    <w:rsid w:val="00CC169A"/>
    <w:rsid w:val="00CC4508"/>
    <w:rsid w:val="00CD2B8D"/>
    <w:rsid w:val="00CD6839"/>
    <w:rsid w:val="00CE1E0C"/>
    <w:rsid w:val="00CE277E"/>
    <w:rsid w:val="00CF1234"/>
    <w:rsid w:val="00D01074"/>
    <w:rsid w:val="00D01795"/>
    <w:rsid w:val="00D04157"/>
    <w:rsid w:val="00D05E0A"/>
    <w:rsid w:val="00D1037F"/>
    <w:rsid w:val="00D1147C"/>
    <w:rsid w:val="00D1699E"/>
    <w:rsid w:val="00D333D4"/>
    <w:rsid w:val="00D367F6"/>
    <w:rsid w:val="00D41E70"/>
    <w:rsid w:val="00D52CD1"/>
    <w:rsid w:val="00D56867"/>
    <w:rsid w:val="00D6612E"/>
    <w:rsid w:val="00D94592"/>
    <w:rsid w:val="00DB118D"/>
    <w:rsid w:val="00DF2132"/>
    <w:rsid w:val="00DF699A"/>
    <w:rsid w:val="00E02A7F"/>
    <w:rsid w:val="00E07880"/>
    <w:rsid w:val="00E158B0"/>
    <w:rsid w:val="00E27743"/>
    <w:rsid w:val="00E32136"/>
    <w:rsid w:val="00E3381D"/>
    <w:rsid w:val="00E4571A"/>
    <w:rsid w:val="00E52685"/>
    <w:rsid w:val="00E711AE"/>
    <w:rsid w:val="00E7415D"/>
    <w:rsid w:val="00E82621"/>
    <w:rsid w:val="00EB15CE"/>
    <w:rsid w:val="00EC1932"/>
    <w:rsid w:val="00EC247F"/>
    <w:rsid w:val="00EC292A"/>
    <w:rsid w:val="00F02013"/>
    <w:rsid w:val="00F41611"/>
    <w:rsid w:val="00F711B9"/>
    <w:rsid w:val="00F75384"/>
    <w:rsid w:val="00F77C9A"/>
    <w:rsid w:val="00F90C26"/>
    <w:rsid w:val="00FA5195"/>
    <w:rsid w:val="00FB576C"/>
    <w:rsid w:val="00FC2D6E"/>
    <w:rsid w:val="00FD1432"/>
    <w:rsid w:val="00FD2AA6"/>
    <w:rsid w:val="00FE1025"/>
    <w:rsid w:val="00FE7E8A"/>
    <w:rsid w:val="00FF1DEC"/>
    <w:rsid w:val="02420CAD"/>
    <w:rsid w:val="02886DED"/>
    <w:rsid w:val="04F47018"/>
    <w:rsid w:val="05C37209"/>
    <w:rsid w:val="07077B6D"/>
    <w:rsid w:val="092C0A32"/>
    <w:rsid w:val="0A277CB5"/>
    <w:rsid w:val="0BE11D08"/>
    <w:rsid w:val="0D641274"/>
    <w:rsid w:val="0DE26548"/>
    <w:rsid w:val="10555B44"/>
    <w:rsid w:val="116C43F4"/>
    <w:rsid w:val="11A44DD7"/>
    <w:rsid w:val="11A55CAD"/>
    <w:rsid w:val="13CE3765"/>
    <w:rsid w:val="14BD39F5"/>
    <w:rsid w:val="15E2587E"/>
    <w:rsid w:val="16473C6D"/>
    <w:rsid w:val="17450B9D"/>
    <w:rsid w:val="18322A41"/>
    <w:rsid w:val="186772B5"/>
    <w:rsid w:val="1C523059"/>
    <w:rsid w:val="1D360347"/>
    <w:rsid w:val="1E0362A2"/>
    <w:rsid w:val="1FD43A0D"/>
    <w:rsid w:val="20860508"/>
    <w:rsid w:val="20F90BE6"/>
    <w:rsid w:val="23030EE3"/>
    <w:rsid w:val="23271B2E"/>
    <w:rsid w:val="280F384D"/>
    <w:rsid w:val="297537BE"/>
    <w:rsid w:val="2A3C5C79"/>
    <w:rsid w:val="2A691522"/>
    <w:rsid w:val="2B277426"/>
    <w:rsid w:val="2B41464C"/>
    <w:rsid w:val="307276D7"/>
    <w:rsid w:val="3401440F"/>
    <w:rsid w:val="34EE26F2"/>
    <w:rsid w:val="356A6B15"/>
    <w:rsid w:val="362E378C"/>
    <w:rsid w:val="36872F3B"/>
    <w:rsid w:val="37631DDB"/>
    <w:rsid w:val="391C0AA8"/>
    <w:rsid w:val="39355AAA"/>
    <w:rsid w:val="3C087F27"/>
    <w:rsid w:val="3C6E7743"/>
    <w:rsid w:val="3D551E79"/>
    <w:rsid w:val="3D66095F"/>
    <w:rsid w:val="3E5C2164"/>
    <w:rsid w:val="42327A39"/>
    <w:rsid w:val="42E15089"/>
    <w:rsid w:val="43E667D7"/>
    <w:rsid w:val="447A497E"/>
    <w:rsid w:val="44964F85"/>
    <w:rsid w:val="44BF4D7B"/>
    <w:rsid w:val="44E40D91"/>
    <w:rsid w:val="47022405"/>
    <w:rsid w:val="481679AB"/>
    <w:rsid w:val="495525C9"/>
    <w:rsid w:val="49557320"/>
    <w:rsid w:val="4A9E2B57"/>
    <w:rsid w:val="4CC6491D"/>
    <w:rsid w:val="4E7C32D2"/>
    <w:rsid w:val="4FC76963"/>
    <w:rsid w:val="50BE045D"/>
    <w:rsid w:val="512067F5"/>
    <w:rsid w:val="51735D72"/>
    <w:rsid w:val="51F81318"/>
    <w:rsid w:val="52702744"/>
    <w:rsid w:val="52E32951"/>
    <w:rsid w:val="52EF7679"/>
    <w:rsid w:val="53B568CD"/>
    <w:rsid w:val="545064CD"/>
    <w:rsid w:val="55A6588E"/>
    <w:rsid w:val="562D776A"/>
    <w:rsid w:val="571409EE"/>
    <w:rsid w:val="57C47C56"/>
    <w:rsid w:val="58C208C8"/>
    <w:rsid w:val="59012BD0"/>
    <w:rsid w:val="5916386C"/>
    <w:rsid w:val="59295C83"/>
    <w:rsid w:val="59E50F1A"/>
    <w:rsid w:val="5B575A91"/>
    <w:rsid w:val="65342157"/>
    <w:rsid w:val="65694370"/>
    <w:rsid w:val="662F2A12"/>
    <w:rsid w:val="66847273"/>
    <w:rsid w:val="67EC6F17"/>
    <w:rsid w:val="69DD0927"/>
    <w:rsid w:val="6ADA4AD1"/>
    <w:rsid w:val="6ADA5158"/>
    <w:rsid w:val="6B343DDC"/>
    <w:rsid w:val="6F917A79"/>
    <w:rsid w:val="70335892"/>
    <w:rsid w:val="70E54E15"/>
    <w:rsid w:val="719F6F71"/>
    <w:rsid w:val="72F8747A"/>
    <w:rsid w:val="73894E47"/>
    <w:rsid w:val="73B9627C"/>
    <w:rsid w:val="743B3B67"/>
    <w:rsid w:val="74A61C1D"/>
    <w:rsid w:val="763714D5"/>
    <w:rsid w:val="76680061"/>
    <w:rsid w:val="767020B6"/>
    <w:rsid w:val="76714EBF"/>
    <w:rsid w:val="769206BF"/>
    <w:rsid w:val="776C3568"/>
    <w:rsid w:val="7A1D0398"/>
    <w:rsid w:val="7A2F783F"/>
    <w:rsid w:val="7B3F35F8"/>
    <w:rsid w:val="7E4C2265"/>
    <w:rsid w:val="7EBA1842"/>
    <w:rsid w:val="7EE94BF9"/>
    <w:rsid w:val="7FEF1A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9">
    <w:name w:val="Default Paragraph Font"/>
    <w:qFormat/>
    <w:uiPriority w:val="1"/>
  </w:style>
  <w:style w:type="table" w:default="1" w:styleId="8">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annotation text"/>
    <w:basedOn w:val="1"/>
    <w:link w:val="13"/>
    <w:unhideWhenUsed/>
    <w:qFormat/>
    <w:uiPriority w:val="0"/>
    <w:pPr>
      <w:jc w:val="left"/>
    </w:pPr>
  </w:style>
  <w:style w:type="paragraph" w:styleId="4">
    <w:name w:val="Balloon Text"/>
    <w:basedOn w:val="1"/>
    <w:link w:val="14"/>
    <w:unhideWhenUsed/>
    <w:qFormat/>
    <w:uiPriority w:val="0"/>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7"/>
    <w:unhideWhenUsed/>
    <w:qFormat/>
    <w:uiPriority w:val="0"/>
    <w:rPr>
      <w:b/>
      <w:bCs/>
    </w:rPr>
  </w:style>
  <w:style w:type="character" w:styleId="10">
    <w:name w:val="Strong"/>
    <w:qFormat/>
    <w:uiPriority w:val="22"/>
    <w:rPr>
      <w:b/>
    </w:rPr>
  </w:style>
  <w:style w:type="character" w:styleId="11">
    <w:name w:val="page number"/>
    <w:qFormat/>
    <w:uiPriority w:val="0"/>
  </w:style>
  <w:style w:type="character" w:styleId="12">
    <w:name w:val="annotation reference"/>
    <w:unhideWhenUsed/>
    <w:qFormat/>
    <w:uiPriority w:val="0"/>
    <w:rPr>
      <w:sz w:val="21"/>
      <w:szCs w:val="21"/>
    </w:rPr>
  </w:style>
  <w:style w:type="character" w:customStyle="1" w:styleId="13">
    <w:name w:val="批注文字 Char"/>
    <w:link w:val="3"/>
    <w:qFormat/>
    <w:uiPriority w:val="0"/>
    <w:rPr>
      <w:kern w:val="2"/>
      <w:sz w:val="21"/>
      <w:szCs w:val="24"/>
    </w:rPr>
  </w:style>
  <w:style w:type="character" w:customStyle="1" w:styleId="14">
    <w:name w:val="批注框文本 Char"/>
    <w:link w:val="4"/>
    <w:qFormat/>
    <w:uiPriority w:val="0"/>
    <w:rPr>
      <w:kern w:val="2"/>
      <w:sz w:val="18"/>
      <w:szCs w:val="18"/>
    </w:rPr>
  </w:style>
  <w:style w:type="character" w:customStyle="1" w:styleId="15">
    <w:name w:val="页脚 Char"/>
    <w:link w:val="5"/>
    <w:qFormat/>
    <w:uiPriority w:val="99"/>
    <w:rPr>
      <w:kern w:val="2"/>
      <w:sz w:val="18"/>
      <w:szCs w:val="18"/>
    </w:rPr>
  </w:style>
  <w:style w:type="character" w:customStyle="1" w:styleId="16">
    <w:name w:val="页眉 Char"/>
    <w:link w:val="6"/>
    <w:qFormat/>
    <w:uiPriority w:val="0"/>
    <w:rPr>
      <w:kern w:val="2"/>
      <w:sz w:val="18"/>
      <w:szCs w:val="18"/>
    </w:rPr>
  </w:style>
  <w:style w:type="character" w:customStyle="1" w:styleId="17">
    <w:name w:val="批注主题 Char"/>
    <w:link w:val="7"/>
    <w:qFormat/>
    <w:uiPriority w:val="0"/>
    <w:rPr>
      <w:b/>
      <w:bCs/>
      <w:kern w:val="2"/>
      <w:sz w:val="21"/>
      <w:szCs w:val="24"/>
    </w:rPr>
  </w:style>
  <w:style w:type="paragraph" w:customStyle="1" w:styleId="18">
    <w:name w:val="_Style 17"/>
    <w:unhideWhenUsed/>
    <w:qFormat/>
    <w:uiPriority w:val="99"/>
    <w:rPr>
      <w:rFonts w:ascii="Times New Roman" w:hAnsi="Times New Roman" w:eastAsia="宋体" w:cs="Times New Roman"/>
      <w:kern w:val="2"/>
      <w:sz w:val="21"/>
      <w:szCs w:val="24"/>
      <w:lang w:val="en-US" w:eastAsia="zh-CN" w:bidi="ar-SA"/>
    </w:rPr>
  </w:style>
  <w:style w:type="paragraph" w:customStyle="1" w:styleId="19">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277</Words>
  <Characters>1579</Characters>
  <Lines>13</Lines>
  <Paragraphs>3</Paragraphs>
  <TotalTime>3</TotalTime>
  <ScaleCrop>false</ScaleCrop>
  <LinksUpToDate>false</LinksUpToDate>
  <CharactersWithSpaces>1853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2025-06-18T02:10:00Z</dcterms:created>
  <dc:creator>lenovo</dc:creator>
  <cp:lastModifiedBy>YWB</cp:lastModifiedBy>
  <cp:lastPrinted>2025-04-03T03:20:00Z</cp:lastPrinted>
  <dcterms:modified xsi:type="dcterms:W3CDTF">2026-04-07T03:29:20Z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commondata">
    <vt:lpwstr>eyJoZGlkIjoiNDRmZDlmMjdkNDI1NjEzMmI2Y2M4ZTAxODQ5YmJlMTYifQ==</vt:lpwstr>
  </property>
  <property fmtid="{D5CDD505-2E9C-101B-9397-08002B2CF9AE}" pid="4" name="ICV">
    <vt:lpwstr>A1D39BE54A904B40976B211F644CB5E9</vt:lpwstr>
  </property>
  <property fmtid="{D5CDD505-2E9C-101B-9397-08002B2CF9AE}" pid="5" name="KSOSaveFontToCloudKey">
    <vt:lpwstr>550453206_embed</vt:lpwstr>
  </property>
  <property fmtid="{D5CDD505-2E9C-101B-9397-08002B2CF9AE}" pid="6" name="KSOTemplateDocerSaveRecord">
    <vt:lpwstr>eyJoZGlkIjoiYTI1ZmQzZjNkMWIyZWQ2NTg0MDA4YjEwNjdjNDIyYzUiLCJ1c2VySWQiOiIyNjY2MjkwNzMifQ==</vt:lpwstr>
  </property>
</Properties>
</file>