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hint="eastAsia" w:eastAsia="方正小标宋简体"/>
          <w:color w:val="auto"/>
          <w:sz w:val="44"/>
          <w:szCs w:val="44"/>
        </w:rPr>
      </w:pPr>
      <w:bookmarkStart w:id="0" w:name="_Hlk102659035"/>
      <w:r>
        <w:rPr>
          <w:rFonts w:hint="eastAsia" w:eastAsia="方正小标宋简体"/>
          <w:color w:val="auto"/>
          <w:sz w:val="44"/>
          <w:szCs w:val="44"/>
        </w:rPr>
        <w:t>东莞市可重复使用的塑料餐饮具</w:t>
      </w:r>
      <w:bookmarkEnd w:id="0"/>
      <w:r>
        <w:rPr>
          <w:rFonts w:hint="eastAsia" w:eastAsia="方正小标宋简体"/>
          <w:color w:val="auto"/>
          <w:sz w:val="44"/>
          <w:szCs w:val="44"/>
        </w:rPr>
        <w:t>产品</w:t>
      </w:r>
    </w:p>
    <w:p>
      <w:pPr>
        <w:adjustRightInd w:val="0"/>
        <w:snapToGrid w:val="0"/>
        <w:spacing w:line="590" w:lineRule="exact"/>
        <w:jc w:val="center"/>
        <w:rPr>
          <w:rFonts w:hint="eastAsia" w:eastAsia="方正小标宋简体"/>
          <w:color w:val="auto"/>
          <w:sz w:val="44"/>
          <w:szCs w:val="44"/>
        </w:rPr>
      </w:pPr>
      <w:r>
        <w:rPr>
          <w:rFonts w:hint="eastAsia" w:eastAsia="方正小标宋简体"/>
          <w:color w:val="auto"/>
          <w:sz w:val="44"/>
          <w:szCs w:val="44"/>
        </w:rPr>
        <w:t>质量监督抽查实施细则</w:t>
      </w:r>
    </w:p>
    <w:p>
      <w:pPr>
        <w:adjustRightInd w:val="0"/>
        <w:snapToGrid w:val="0"/>
        <w:spacing w:line="590" w:lineRule="exact"/>
        <w:jc w:val="center"/>
        <w:rPr>
          <w:rFonts w:eastAsia="楷体_GB2312"/>
          <w:color w:val="auto"/>
          <w:sz w:val="32"/>
          <w:szCs w:val="32"/>
        </w:rPr>
      </w:pPr>
      <w:r>
        <w:rPr>
          <w:rFonts w:hint="eastAsia" w:eastAsia="楷体_GB2312"/>
          <w:color w:val="auto"/>
          <w:sz w:val="32"/>
          <w:szCs w:val="32"/>
        </w:rPr>
        <w:t>（202</w:t>
      </w:r>
      <w:r>
        <w:rPr>
          <w:rFonts w:hint="eastAsia" w:eastAsia="楷体_GB2312"/>
          <w:color w:val="auto"/>
          <w:sz w:val="32"/>
          <w:szCs w:val="32"/>
          <w:lang w:val="en-US" w:eastAsia="zh-CN"/>
        </w:rPr>
        <w:t>6</w:t>
      </w:r>
      <w:r>
        <w:rPr>
          <w:rFonts w:hint="eastAsia" w:eastAsia="楷体_GB2312"/>
          <w:color w:val="auto"/>
          <w:sz w:val="32"/>
          <w:szCs w:val="32"/>
        </w:rPr>
        <w:t>年版）</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1 抽样方法</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以随机抽样的方式在被抽样生产者、销售者的待销产品中抽取。</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随机数一般可使用随机数表等方法产生。</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抽样数量见表1。</w:t>
      </w:r>
    </w:p>
    <w:p>
      <w:pPr>
        <w:spacing w:line="590" w:lineRule="exact"/>
        <w:jc w:val="center"/>
        <w:textAlignment w:val="center"/>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表1 抽样数量</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856"/>
        <w:gridCol w:w="3402"/>
        <w:gridCol w:w="1417"/>
        <w:gridCol w:w="1276"/>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812"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序号</w:t>
            </w:r>
          </w:p>
        </w:tc>
        <w:tc>
          <w:tcPr>
            <w:tcW w:w="4258" w:type="dxa"/>
            <w:gridSpan w:val="2"/>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产品类型</w:t>
            </w:r>
          </w:p>
        </w:tc>
        <w:tc>
          <w:tcPr>
            <w:tcW w:w="1417"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抽样数量</w:t>
            </w:r>
          </w:p>
          <w:p>
            <w:pPr>
              <w:adjustRightInd w:val="0"/>
              <w:snapToGrid w:val="0"/>
              <w:spacing w:line="400" w:lineRule="exact"/>
              <w:jc w:val="center"/>
              <w:rPr>
                <w:rFonts w:eastAsia="黑体"/>
                <w:color w:val="auto"/>
                <w:sz w:val="24"/>
                <w:szCs w:val="24"/>
              </w:rPr>
            </w:pPr>
            <w:r>
              <w:rPr>
                <w:rFonts w:hint="eastAsia" w:eastAsia="黑体"/>
                <w:color w:val="auto"/>
                <w:sz w:val="24"/>
                <w:szCs w:val="24"/>
              </w:rPr>
              <w:t>（只/个）</w:t>
            </w:r>
          </w:p>
        </w:tc>
        <w:tc>
          <w:tcPr>
            <w:tcW w:w="1276"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检验样品</w:t>
            </w:r>
          </w:p>
          <w:p>
            <w:pPr>
              <w:adjustRightInd w:val="0"/>
              <w:snapToGrid w:val="0"/>
              <w:spacing w:line="400" w:lineRule="exact"/>
              <w:jc w:val="center"/>
              <w:rPr>
                <w:rFonts w:eastAsia="黑体"/>
                <w:color w:val="auto"/>
                <w:sz w:val="24"/>
                <w:szCs w:val="24"/>
              </w:rPr>
            </w:pPr>
            <w:r>
              <w:rPr>
                <w:rFonts w:hint="eastAsia" w:eastAsia="黑体"/>
                <w:color w:val="auto"/>
                <w:sz w:val="24"/>
                <w:szCs w:val="24"/>
              </w:rPr>
              <w:t>数量</w:t>
            </w:r>
          </w:p>
          <w:p>
            <w:pPr>
              <w:adjustRightInd w:val="0"/>
              <w:snapToGrid w:val="0"/>
              <w:spacing w:line="400" w:lineRule="exact"/>
              <w:jc w:val="center"/>
              <w:rPr>
                <w:rFonts w:eastAsia="黑体"/>
                <w:color w:val="auto"/>
                <w:sz w:val="24"/>
                <w:szCs w:val="24"/>
              </w:rPr>
            </w:pPr>
            <w:r>
              <w:rPr>
                <w:rFonts w:hint="eastAsia" w:eastAsia="黑体"/>
                <w:color w:val="auto"/>
                <w:sz w:val="24"/>
                <w:szCs w:val="24"/>
              </w:rPr>
              <w:t>（只/个）</w:t>
            </w:r>
          </w:p>
        </w:tc>
        <w:tc>
          <w:tcPr>
            <w:tcW w:w="1411"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备用样品</w:t>
            </w:r>
          </w:p>
          <w:p>
            <w:pPr>
              <w:adjustRightInd w:val="0"/>
              <w:snapToGrid w:val="0"/>
              <w:spacing w:line="400" w:lineRule="exact"/>
              <w:jc w:val="center"/>
              <w:rPr>
                <w:rFonts w:eastAsia="黑体"/>
                <w:color w:val="auto"/>
                <w:sz w:val="24"/>
                <w:szCs w:val="24"/>
              </w:rPr>
            </w:pPr>
            <w:r>
              <w:rPr>
                <w:rFonts w:hint="eastAsia" w:eastAsia="黑体"/>
                <w:color w:val="auto"/>
                <w:sz w:val="24"/>
                <w:szCs w:val="24"/>
              </w:rPr>
              <w:t>数量</w:t>
            </w:r>
          </w:p>
          <w:p>
            <w:pPr>
              <w:adjustRightInd w:val="0"/>
              <w:snapToGrid w:val="0"/>
              <w:spacing w:line="400" w:lineRule="exact"/>
              <w:jc w:val="center"/>
              <w:rPr>
                <w:rFonts w:eastAsia="黑体"/>
                <w:color w:val="auto"/>
                <w:sz w:val="24"/>
                <w:szCs w:val="24"/>
              </w:rPr>
            </w:pPr>
            <w:r>
              <w:rPr>
                <w:rFonts w:hint="eastAsia" w:eastAsia="黑体"/>
                <w:color w:val="auto"/>
                <w:sz w:val="24"/>
                <w:szCs w:val="24"/>
              </w:rPr>
              <w:t>（只/个）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4258" w:type="dxa"/>
            <w:gridSpan w:val="2"/>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刀、叉、勺、吸管、筷子等</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42</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30</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restar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856" w:type="dxa"/>
            <w:vMerge w:val="restar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bidi="ar"/>
              </w:rPr>
              <w:t>盒、</w:t>
            </w:r>
            <w:r>
              <w:rPr>
                <w:rFonts w:hint="eastAsia" w:ascii="仿宋_GB2312" w:hAnsi="仿宋_GB2312" w:eastAsia="仿宋_GB2312" w:cs="仿宋_GB2312"/>
                <w:color w:val="auto"/>
                <w:sz w:val="24"/>
                <w:szCs w:val="24"/>
              </w:rPr>
              <w:t>碗、杯等</w:t>
            </w:r>
          </w:p>
        </w:tc>
        <w:tc>
          <w:tcPr>
            <w:tcW w:w="3402"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容量≥400mL</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856"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3402"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200mL≤容量＜400mL</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856"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3402"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容量＜200mL</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16</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12" w:type="dxa"/>
            <w:vMerge w:val="restar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856" w:type="dxa"/>
            <w:vMerge w:val="restar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盘、碟等产品</w:t>
            </w:r>
          </w:p>
        </w:tc>
        <w:tc>
          <w:tcPr>
            <w:tcW w:w="3402"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接触食品面面积≥240cm</w:t>
            </w:r>
            <w:r>
              <w:rPr>
                <w:rFonts w:hint="eastAsia" w:ascii="仿宋_GB2312" w:hAnsi="仿宋_GB2312" w:eastAsia="仿宋_GB2312" w:cs="仿宋_GB2312"/>
                <w:color w:val="auto"/>
                <w:sz w:val="24"/>
                <w:szCs w:val="24"/>
                <w:vertAlign w:val="superscript"/>
              </w:rPr>
              <w:t>2</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12"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856"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3402"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120cm</w:t>
            </w:r>
            <w:r>
              <w:rPr>
                <w:rFonts w:hint="eastAsia" w:ascii="仿宋_GB2312" w:hAnsi="仿宋_GB2312" w:eastAsia="仿宋_GB2312" w:cs="仿宋_GB2312"/>
                <w:color w:val="auto"/>
                <w:sz w:val="24"/>
                <w:szCs w:val="24"/>
                <w:vertAlign w:val="superscript"/>
              </w:rPr>
              <w:t>2</w:t>
            </w:r>
            <w:r>
              <w:rPr>
                <w:rFonts w:hint="eastAsia" w:ascii="仿宋_GB2312" w:hAnsi="仿宋_GB2312" w:eastAsia="仿宋_GB2312" w:cs="仿宋_GB2312"/>
                <w:color w:val="auto"/>
                <w:sz w:val="24"/>
                <w:szCs w:val="24"/>
              </w:rPr>
              <w:t>≤接触食品面面积＜240cm</w:t>
            </w:r>
            <w:r>
              <w:rPr>
                <w:rFonts w:hint="eastAsia" w:ascii="仿宋_GB2312" w:hAnsi="仿宋_GB2312" w:eastAsia="仿宋_GB2312" w:cs="仿宋_GB2312"/>
                <w:color w:val="auto"/>
                <w:sz w:val="24"/>
                <w:szCs w:val="24"/>
                <w:vertAlign w:val="superscript"/>
              </w:rPr>
              <w:t>2</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12"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856"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3402"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60cm</w:t>
            </w:r>
            <w:r>
              <w:rPr>
                <w:rFonts w:hint="eastAsia" w:ascii="仿宋_GB2312" w:hAnsi="仿宋_GB2312" w:eastAsia="仿宋_GB2312" w:cs="仿宋_GB2312"/>
                <w:color w:val="auto"/>
                <w:sz w:val="24"/>
                <w:szCs w:val="24"/>
                <w:vertAlign w:val="superscript"/>
              </w:rPr>
              <w:t>2</w:t>
            </w:r>
            <w:r>
              <w:rPr>
                <w:rFonts w:hint="eastAsia" w:ascii="仿宋_GB2312" w:hAnsi="仿宋_GB2312" w:eastAsia="仿宋_GB2312" w:cs="仿宋_GB2312"/>
                <w:color w:val="auto"/>
                <w:sz w:val="24"/>
                <w:szCs w:val="24"/>
              </w:rPr>
              <w:t>≤接触食品面面积＜120cm</w:t>
            </w:r>
            <w:r>
              <w:rPr>
                <w:rFonts w:hint="eastAsia" w:ascii="仿宋_GB2312" w:hAnsi="仿宋_GB2312" w:eastAsia="仿宋_GB2312" w:cs="仿宋_GB2312"/>
                <w:color w:val="auto"/>
                <w:sz w:val="24"/>
                <w:szCs w:val="24"/>
                <w:vertAlign w:val="superscript"/>
              </w:rPr>
              <w:t>2</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16</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12"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856"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3402"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接触食品面面积＜60cm</w:t>
            </w:r>
            <w:r>
              <w:rPr>
                <w:rFonts w:hint="eastAsia" w:ascii="仿宋_GB2312" w:hAnsi="仿宋_GB2312" w:eastAsia="仿宋_GB2312" w:cs="仿宋_GB2312"/>
                <w:color w:val="auto"/>
                <w:sz w:val="24"/>
                <w:szCs w:val="24"/>
                <w:vertAlign w:val="superscript"/>
              </w:rPr>
              <w:t>2</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50</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24</w:t>
            </w:r>
          </w:p>
        </w:tc>
      </w:tr>
    </w:tbl>
    <w:p>
      <w:pPr>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w:t>
      </w:r>
    </w:p>
    <w:p>
      <w:pPr>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（1）产品抽样数量可根据样品的实际大小，在满足检验的条件下做适当调整；</w:t>
      </w:r>
    </w:p>
    <w:p>
      <w:pPr>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（2）抽样时应注明产品类型、产品材质等信息。</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2 检验依据</w:t>
      </w:r>
    </w:p>
    <w:p>
      <w:pPr>
        <w:adjustRightInd w:val="0"/>
        <w:snapToGrid w:val="0"/>
        <w:spacing w:line="590" w:lineRule="exact"/>
        <w:jc w:val="center"/>
        <w:rPr>
          <w:rFonts w:eastAsia="仿宋_GB2312"/>
          <w:color w:val="auto"/>
          <w:sz w:val="32"/>
          <w:szCs w:val="32"/>
        </w:rPr>
      </w:pPr>
      <w:r>
        <w:rPr>
          <w:rFonts w:hint="eastAsia" w:eastAsia="仿宋_GB2312"/>
          <w:color w:val="auto"/>
          <w:sz w:val="32"/>
          <w:szCs w:val="32"/>
        </w:rPr>
        <w:t>表2 检验项目</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3350"/>
        <w:gridCol w:w="2576"/>
        <w:gridCol w:w="2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364" w:type="pct"/>
            <w:noWrap w:val="0"/>
            <w:vAlign w:val="center"/>
          </w:tcPr>
          <w:p>
            <w:pPr>
              <w:adjustRightInd w:val="0"/>
              <w:snapToGrid w:val="0"/>
              <w:spacing w:line="400" w:lineRule="exact"/>
              <w:jc w:val="center"/>
              <w:rPr>
                <w:rFonts w:eastAsia="黑体"/>
                <w:color w:val="auto"/>
                <w:sz w:val="24"/>
                <w:szCs w:val="24"/>
              </w:rPr>
            </w:pPr>
            <w:bookmarkStart w:id="1" w:name="_Hlk40347690"/>
            <w:r>
              <w:rPr>
                <w:rFonts w:hint="eastAsia" w:eastAsia="黑体"/>
                <w:color w:val="auto"/>
                <w:sz w:val="24"/>
                <w:szCs w:val="24"/>
              </w:rPr>
              <w:t>序号</w:t>
            </w:r>
          </w:p>
        </w:tc>
        <w:tc>
          <w:tcPr>
            <w:tcW w:w="1827" w:type="pct"/>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检验项目</w:t>
            </w:r>
          </w:p>
        </w:tc>
        <w:tc>
          <w:tcPr>
            <w:tcW w:w="1405" w:type="pct"/>
            <w:noWrap w:val="0"/>
            <w:vAlign w:val="center"/>
          </w:tcPr>
          <w:p>
            <w:pPr>
              <w:adjustRightInd w:val="0"/>
              <w:snapToGrid w:val="0"/>
              <w:spacing w:line="400" w:lineRule="exact"/>
              <w:jc w:val="center"/>
              <w:rPr>
                <w:rFonts w:hint="eastAsia" w:eastAsia="黑体"/>
                <w:color w:val="auto"/>
                <w:sz w:val="24"/>
                <w:szCs w:val="24"/>
              </w:rPr>
            </w:pPr>
            <w:r>
              <w:rPr>
                <w:rFonts w:hint="eastAsia" w:eastAsia="黑体"/>
                <w:color w:val="auto"/>
                <w:sz w:val="24"/>
                <w:szCs w:val="24"/>
              </w:rPr>
              <w:t>检验依据</w:t>
            </w:r>
          </w:p>
        </w:tc>
        <w:tc>
          <w:tcPr>
            <w:tcW w:w="1402" w:type="pct"/>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bookmarkStart w:id="2" w:name="_Hlk195175219"/>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感官要求</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总迁移量</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高锰酸钾消耗量</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重金属（以Pb计）</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芳香族伯胺迁移总量</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脱色试验</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特定迁移量（以锑计）（限PET 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9685—2016</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31604.41</w:t>
            </w:r>
            <w:bookmarkStart w:id="3" w:name="OLE_LINK1"/>
            <w:r>
              <w:rPr>
                <w:rFonts w:hint="eastAsia" w:ascii="仿宋_GB2312" w:hAnsi="仿宋_GB2312" w:eastAsia="仿宋_GB2312" w:cs="仿宋_GB2312"/>
                <w:color w:val="auto"/>
                <w:sz w:val="24"/>
                <w:szCs w:val="24"/>
              </w:rPr>
              <w:t>—</w:t>
            </w:r>
            <w:bookmarkEnd w:id="3"/>
            <w:r>
              <w:rPr>
                <w:rFonts w:hint="eastAsia" w:ascii="仿宋_GB2312" w:hAnsi="仿宋_GB2312" w:eastAsia="仿宋_GB2312" w:cs="仿宋_GB2312"/>
                <w:color w:val="auto"/>
                <w:sz w:val="24"/>
                <w:szCs w:val="24"/>
              </w:rPr>
              <w:t>2016</w:t>
            </w:r>
          </w:p>
          <w:p>
            <w:pPr>
              <w:adjustRightInd w:val="0"/>
              <w:snapToGrid w:val="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GB 31604.49</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特定迁移总量（以己内酰胺计）</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（限PA材质）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31604.19—2016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氯乙烯特定迁移量</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（限PVC、PVDC材质）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31604.31—20</w:t>
            </w:r>
            <w:r>
              <w:rPr>
                <w:rFonts w:hint="eastAsia" w:ascii="仿宋_GB2312" w:hAnsi="仿宋_GB2312" w:eastAsia="仿宋_GB2312" w:cs="仿宋_GB2312"/>
                <w:color w:val="auto"/>
                <w:sz w:val="24"/>
                <w:szCs w:val="24"/>
                <w:lang w:val="en-US" w:eastAsia="zh-CN"/>
              </w:rPr>
              <w:t>25</w:t>
            </w:r>
            <w:r>
              <w:rPr>
                <w:rFonts w:hint="eastAsia" w:ascii="仿宋_GB2312" w:hAnsi="仿宋_GB2312" w:eastAsia="仿宋_GB2312" w:cs="仿宋_GB2312"/>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特定迁移总量（以对苯二甲酸计）</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（限PET、PBT材质）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GB 31604.21—20</w:t>
            </w:r>
            <w:r>
              <w:rPr>
                <w:rFonts w:hint="eastAsia" w:ascii="仿宋_GB2312" w:hAnsi="仿宋_GB2312" w:eastAsia="仿宋_GB2312" w:cs="仿宋_GB2312"/>
                <w:color w:val="auto"/>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特定迁移总量（以1,2-乙二醇计）</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（限PET材质）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特定迁移总量（以1,4-丁二醇计）</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（限PBT材质）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1,3-丁二烯特定迁移量</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（限有丁二烯单体的聚合物）</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邻苯类增塑剂特定迁移量</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（限PVC材质）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9685—2016</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双酚A特定迁移量（限PC材质）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64"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827"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苯酚特定迁移量（限PC材质）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5000" w:type="pct"/>
            <w:gridSpan w:val="4"/>
            <w:noWrap w:val="0"/>
            <w:vAlign w:val="center"/>
          </w:tcPr>
          <w:p>
            <w:pPr>
              <w:adjustRightInd w:val="0"/>
              <w:snapToGrid w:val="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注：1.高锰酸钾消耗量不适用于淀粉含量≥40%的淀粉基塑料材料及制品。</w:t>
            </w:r>
          </w:p>
          <w:p>
            <w:pPr>
              <w:adjustRightInd w:val="0"/>
              <w:snapToGrid w:val="0"/>
              <w:ind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.脱色试验项目仅适用于添加着色剂的产品</w:t>
            </w:r>
            <w:r>
              <w:rPr>
                <w:rFonts w:hint="eastAsia" w:ascii="仿宋_GB2312" w:hAnsi="仿宋_GB2312" w:eastAsia="仿宋_GB2312" w:cs="仿宋_GB2312"/>
                <w:color w:val="auto"/>
                <w:sz w:val="24"/>
                <w:szCs w:val="24"/>
                <w:lang w:eastAsia="zh-CN"/>
              </w:rPr>
              <w:t>。</w:t>
            </w:r>
          </w:p>
        </w:tc>
      </w:tr>
      <w:bookmarkEnd w:id="2"/>
    </w:tbl>
    <w:p>
      <w:pPr>
        <w:autoSpaceDE w:val="0"/>
        <w:autoSpaceDN w:val="0"/>
        <w:adjustRightInd w:val="0"/>
        <w:spacing w:line="590" w:lineRule="exact"/>
        <w:ind w:firstLine="640" w:firstLineChars="200"/>
        <w:rPr>
          <w:rFonts w:eastAsia="仿宋_GB2312"/>
          <w:color w:val="auto"/>
          <w:sz w:val="32"/>
          <w:szCs w:val="32"/>
        </w:rPr>
      </w:pPr>
      <w:r>
        <w:rPr>
          <w:rFonts w:hint="eastAsia" w:eastAsia="仿宋_GB2312"/>
          <w:color w:val="auto"/>
          <w:sz w:val="32"/>
          <w:szCs w:val="32"/>
        </w:rPr>
        <w:t>执行企业标准、团体标准、地方标准的产品，检验项目参照上述内容执行。</w:t>
      </w:r>
    </w:p>
    <w:bookmarkEnd w:id="1"/>
    <w:p>
      <w:pPr>
        <w:autoSpaceDE w:val="0"/>
        <w:autoSpaceDN w:val="0"/>
        <w:adjustRightInd w:val="0"/>
        <w:spacing w:line="590" w:lineRule="exact"/>
        <w:ind w:firstLine="640" w:firstLineChars="200"/>
        <w:rPr>
          <w:rFonts w:eastAsia="仿宋_GB2312"/>
          <w:color w:val="auto"/>
          <w:sz w:val="32"/>
          <w:szCs w:val="32"/>
        </w:rPr>
      </w:pPr>
      <w:r>
        <w:rPr>
          <w:rFonts w:hint="eastAsia" w:eastAsia="仿宋_GB2312"/>
          <w:color w:val="auto"/>
          <w:sz w:val="32"/>
          <w:szCs w:val="32"/>
        </w:rPr>
        <w:t>凡是注日期的文件，其随后所</w:t>
      </w:r>
      <w:bookmarkStart w:id="4" w:name="_GoBack"/>
      <w:bookmarkEnd w:id="4"/>
      <w:r>
        <w:rPr>
          <w:rFonts w:hint="eastAsia" w:eastAsia="仿宋_GB2312"/>
          <w:color w:val="auto"/>
          <w:sz w:val="32"/>
          <w:szCs w:val="32"/>
        </w:rPr>
        <w:t>有的修改单（不包括勘误的内容）或修订版不适用于本细则。凡是不注日期的文件，其最新版本适用于本细则。</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3 判定规则</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3.1依据标准</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GB 4806.7—2023 食品安全国家标准 食品接触用塑料材料及制品</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GB 9685</w:t>
      </w:r>
      <w:r>
        <w:rPr>
          <w:rFonts w:eastAsia="仿宋_GB2312"/>
          <w:color w:val="auto"/>
          <w:sz w:val="32"/>
          <w:szCs w:val="32"/>
          <w:lang w:bidi="ar"/>
        </w:rPr>
        <w:t>—</w:t>
      </w:r>
      <w:r>
        <w:rPr>
          <w:rFonts w:hint="eastAsia" w:eastAsia="仿宋_GB2312"/>
          <w:color w:val="auto"/>
          <w:sz w:val="32"/>
          <w:szCs w:val="32"/>
          <w:lang w:bidi="ar"/>
        </w:rPr>
        <w:t>2016 食品安全国家标准 食品接触材料及制品用添加剂使用标准</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现行有效的企业标准、团体标准、地方标准及产品明示质量要求</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3.2判定原则</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经检验，检验项目全部合格，判定为被抽查产品所检项目未发现不合格；检验项目中任一项或一项以上不合格，判定为被抽查产品不合格。</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若被检产品明示的质量要求高于本细则中检验项目依据的标准要求时，应按被检产品明示的质量要求判定。</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若被检产品明示的质量要求低于本细则中检验项目依据的强制性标准要求时，应按照强制性标准要求判定。</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若被检产品明示的质量要求低于或包含本细则中检验项目依据的推荐性标准要求时，应以被检产品明示的质量要求判定。</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若被检产品明示的质量要求缺少本细则中检验项目依据的强制性标准要求时，应按照强制性标准要求判定。</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若被检产品明示的质量要求缺少本细则中检验项目依据的推荐性标准要求时，该项目不参与判定。</w:t>
      </w: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2635F2-B0F4-44ED-B9D6-BA776603870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370B7040-27A3-4A02-850D-C3FC2BF6209C}"/>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D3E11EF9-C6EA-4715-8A1C-28D57EAAC21C}"/>
  </w:font>
  <w:font w:name="楷体_GB2312">
    <w:panose1 w:val="02010609030101010101"/>
    <w:charset w:val="86"/>
    <w:family w:val="modern"/>
    <w:pitch w:val="default"/>
    <w:sig w:usb0="00000001" w:usb1="080E0000" w:usb2="00000000" w:usb3="00000000" w:csb0="00040000" w:csb1="00000000"/>
    <w:embedRegular r:id="rId4" w:fontKey="{27A1590D-527E-46D7-9FEF-FF083DD05B19}"/>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4</w:t>
    </w:r>
    <w:r>
      <w:rPr>
        <w:sz w:val="21"/>
        <w:szCs w:val="21"/>
        <w:lang w:val="zh-CN"/>
      </w:rPr>
      <w:fldChar w:fldCharType="end"/>
    </w:r>
  </w:p>
  <w:p>
    <w:pPr>
      <w:pStyle w:val="5"/>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MjkzYTE5NGRjMWQ0ZDQzYjllNDJiNzcwNjg3NGEifQ=="/>
    <w:docVar w:name="KSO_WPS_MARK_KEY" w:val="2be20ed5-970f-485b-a50a-71ff763f962f"/>
  </w:docVars>
  <w:rsids>
    <w:rsidRoot w:val="004E7F45"/>
    <w:rsid w:val="000223BA"/>
    <w:rsid w:val="00025E70"/>
    <w:rsid w:val="00026930"/>
    <w:rsid w:val="000600FC"/>
    <w:rsid w:val="00060D72"/>
    <w:rsid w:val="000612B1"/>
    <w:rsid w:val="00077FD9"/>
    <w:rsid w:val="00087DDD"/>
    <w:rsid w:val="000C39EF"/>
    <w:rsid w:val="000D0B7A"/>
    <w:rsid w:val="000D6BF4"/>
    <w:rsid w:val="000F1FC1"/>
    <w:rsid w:val="000F504B"/>
    <w:rsid w:val="001001F2"/>
    <w:rsid w:val="00111BFA"/>
    <w:rsid w:val="00126B4B"/>
    <w:rsid w:val="0013492D"/>
    <w:rsid w:val="001350A1"/>
    <w:rsid w:val="00152A5F"/>
    <w:rsid w:val="001605D7"/>
    <w:rsid w:val="00190058"/>
    <w:rsid w:val="00195AC3"/>
    <w:rsid w:val="00195EB1"/>
    <w:rsid w:val="001B6124"/>
    <w:rsid w:val="001C70FA"/>
    <w:rsid w:val="001E31FC"/>
    <w:rsid w:val="001E7D67"/>
    <w:rsid w:val="001F5300"/>
    <w:rsid w:val="00262E0C"/>
    <w:rsid w:val="00263965"/>
    <w:rsid w:val="00274C34"/>
    <w:rsid w:val="002823DE"/>
    <w:rsid w:val="002917F2"/>
    <w:rsid w:val="00295E58"/>
    <w:rsid w:val="002961CD"/>
    <w:rsid w:val="002D2966"/>
    <w:rsid w:val="002E746B"/>
    <w:rsid w:val="003047A8"/>
    <w:rsid w:val="00323CEB"/>
    <w:rsid w:val="0033027F"/>
    <w:rsid w:val="00331A97"/>
    <w:rsid w:val="00332EA7"/>
    <w:rsid w:val="00345C28"/>
    <w:rsid w:val="00352117"/>
    <w:rsid w:val="00360E24"/>
    <w:rsid w:val="00391B32"/>
    <w:rsid w:val="003D5388"/>
    <w:rsid w:val="003F7705"/>
    <w:rsid w:val="004064D4"/>
    <w:rsid w:val="00421E58"/>
    <w:rsid w:val="0048431A"/>
    <w:rsid w:val="004959D5"/>
    <w:rsid w:val="004B3561"/>
    <w:rsid w:val="004C3953"/>
    <w:rsid w:val="004D1A5B"/>
    <w:rsid w:val="004E7F45"/>
    <w:rsid w:val="004F4966"/>
    <w:rsid w:val="0051209D"/>
    <w:rsid w:val="00513A22"/>
    <w:rsid w:val="00532F8D"/>
    <w:rsid w:val="0054077C"/>
    <w:rsid w:val="00556FBD"/>
    <w:rsid w:val="00571A64"/>
    <w:rsid w:val="0057606E"/>
    <w:rsid w:val="00590F96"/>
    <w:rsid w:val="005A736C"/>
    <w:rsid w:val="005C6E8E"/>
    <w:rsid w:val="005E6927"/>
    <w:rsid w:val="005F26DF"/>
    <w:rsid w:val="00606F23"/>
    <w:rsid w:val="006219F8"/>
    <w:rsid w:val="00621D4C"/>
    <w:rsid w:val="00626CB9"/>
    <w:rsid w:val="00646A2D"/>
    <w:rsid w:val="0065579C"/>
    <w:rsid w:val="0068760D"/>
    <w:rsid w:val="006C56E0"/>
    <w:rsid w:val="0070244A"/>
    <w:rsid w:val="00723797"/>
    <w:rsid w:val="0075353F"/>
    <w:rsid w:val="007844F1"/>
    <w:rsid w:val="00791A66"/>
    <w:rsid w:val="007978AC"/>
    <w:rsid w:val="007A4F3E"/>
    <w:rsid w:val="007C0F2D"/>
    <w:rsid w:val="007E6AED"/>
    <w:rsid w:val="0080120E"/>
    <w:rsid w:val="0082334C"/>
    <w:rsid w:val="0083166D"/>
    <w:rsid w:val="00862859"/>
    <w:rsid w:val="0088588D"/>
    <w:rsid w:val="008A1D26"/>
    <w:rsid w:val="008A34E5"/>
    <w:rsid w:val="008C2AA1"/>
    <w:rsid w:val="008C6157"/>
    <w:rsid w:val="008D4A5A"/>
    <w:rsid w:val="008E77CC"/>
    <w:rsid w:val="00902C4C"/>
    <w:rsid w:val="0091647C"/>
    <w:rsid w:val="00936A49"/>
    <w:rsid w:val="009371D2"/>
    <w:rsid w:val="009833AD"/>
    <w:rsid w:val="009A44F5"/>
    <w:rsid w:val="009A74F5"/>
    <w:rsid w:val="009C1B2B"/>
    <w:rsid w:val="009E73B3"/>
    <w:rsid w:val="009F1D5A"/>
    <w:rsid w:val="00A04474"/>
    <w:rsid w:val="00A24652"/>
    <w:rsid w:val="00A33CD8"/>
    <w:rsid w:val="00A34CC6"/>
    <w:rsid w:val="00A42486"/>
    <w:rsid w:val="00A635B9"/>
    <w:rsid w:val="00A87224"/>
    <w:rsid w:val="00A941B5"/>
    <w:rsid w:val="00A95981"/>
    <w:rsid w:val="00AC1FA9"/>
    <w:rsid w:val="00AD527D"/>
    <w:rsid w:val="00AE0D56"/>
    <w:rsid w:val="00AF34B8"/>
    <w:rsid w:val="00AF3B5B"/>
    <w:rsid w:val="00AF46D5"/>
    <w:rsid w:val="00B24BD0"/>
    <w:rsid w:val="00B349EE"/>
    <w:rsid w:val="00B4221B"/>
    <w:rsid w:val="00B44E4C"/>
    <w:rsid w:val="00B4666B"/>
    <w:rsid w:val="00B5232C"/>
    <w:rsid w:val="00B61C35"/>
    <w:rsid w:val="00B942CB"/>
    <w:rsid w:val="00BA4351"/>
    <w:rsid w:val="00BA4D5F"/>
    <w:rsid w:val="00BA5623"/>
    <w:rsid w:val="00BB1D93"/>
    <w:rsid w:val="00BB764E"/>
    <w:rsid w:val="00BC2935"/>
    <w:rsid w:val="00BE1502"/>
    <w:rsid w:val="00C2557D"/>
    <w:rsid w:val="00C25CB5"/>
    <w:rsid w:val="00C3154A"/>
    <w:rsid w:val="00C37F41"/>
    <w:rsid w:val="00C454DF"/>
    <w:rsid w:val="00C46825"/>
    <w:rsid w:val="00C46D74"/>
    <w:rsid w:val="00C50932"/>
    <w:rsid w:val="00C541F4"/>
    <w:rsid w:val="00C60742"/>
    <w:rsid w:val="00C77ED8"/>
    <w:rsid w:val="00C828D3"/>
    <w:rsid w:val="00C87D52"/>
    <w:rsid w:val="00CA3391"/>
    <w:rsid w:val="00CB3731"/>
    <w:rsid w:val="00CE1F69"/>
    <w:rsid w:val="00CE4FD7"/>
    <w:rsid w:val="00CE5418"/>
    <w:rsid w:val="00D10BD4"/>
    <w:rsid w:val="00D30B7E"/>
    <w:rsid w:val="00D373AD"/>
    <w:rsid w:val="00D541C8"/>
    <w:rsid w:val="00D5626E"/>
    <w:rsid w:val="00D7754D"/>
    <w:rsid w:val="00D867EF"/>
    <w:rsid w:val="00D92B63"/>
    <w:rsid w:val="00D9409B"/>
    <w:rsid w:val="00DA4552"/>
    <w:rsid w:val="00DA52B0"/>
    <w:rsid w:val="00DF15F6"/>
    <w:rsid w:val="00DF4DCE"/>
    <w:rsid w:val="00E26257"/>
    <w:rsid w:val="00E379E2"/>
    <w:rsid w:val="00E864B9"/>
    <w:rsid w:val="00E93AD3"/>
    <w:rsid w:val="00E96ACA"/>
    <w:rsid w:val="00EB3B67"/>
    <w:rsid w:val="00EE0DA2"/>
    <w:rsid w:val="00EF6548"/>
    <w:rsid w:val="00F07ACA"/>
    <w:rsid w:val="00F14A6A"/>
    <w:rsid w:val="00F15254"/>
    <w:rsid w:val="00F20135"/>
    <w:rsid w:val="00F2567C"/>
    <w:rsid w:val="00F330D2"/>
    <w:rsid w:val="00F76949"/>
    <w:rsid w:val="00F85554"/>
    <w:rsid w:val="00F94DCB"/>
    <w:rsid w:val="00FD4675"/>
    <w:rsid w:val="00FD5CEA"/>
    <w:rsid w:val="00FF2630"/>
    <w:rsid w:val="015F5DD0"/>
    <w:rsid w:val="01A131C3"/>
    <w:rsid w:val="01FB18B7"/>
    <w:rsid w:val="024B3ED5"/>
    <w:rsid w:val="024F77E7"/>
    <w:rsid w:val="028228AC"/>
    <w:rsid w:val="032C2CC0"/>
    <w:rsid w:val="050161E5"/>
    <w:rsid w:val="05545442"/>
    <w:rsid w:val="056915AB"/>
    <w:rsid w:val="057B705B"/>
    <w:rsid w:val="07555753"/>
    <w:rsid w:val="09837BF5"/>
    <w:rsid w:val="0CA16AA5"/>
    <w:rsid w:val="0D5E33E4"/>
    <w:rsid w:val="0E2F3A82"/>
    <w:rsid w:val="109951E3"/>
    <w:rsid w:val="10E96DCA"/>
    <w:rsid w:val="11A97B1A"/>
    <w:rsid w:val="12EE04EB"/>
    <w:rsid w:val="142E2B41"/>
    <w:rsid w:val="146050F4"/>
    <w:rsid w:val="15097FDB"/>
    <w:rsid w:val="150E1C7B"/>
    <w:rsid w:val="15326481"/>
    <w:rsid w:val="15861A43"/>
    <w:rsid w:val="15F1076B"/>
    <w:rsid w:val="16A05B48"/>
    <w:rsid w:val="1842745A"/>
    <w:rsid w:val="188E1215"/>
    <w:rsid w:val="18B11774"/>
    <w:rsid w:val="1A9221AF"/>
    <w:rsid w:val="1BDD60C2"/>
    <w:rsid w:val="1C0559C8"/>
    <w:rsid w:val="1DCA3D55"/>
    <w:rsid w:val="1E1060D3"/>
    <w:rsid w:val="1E3265FA"/>
    <w:rsid w:val="1FE932D4"/>
    <w:rsid w:val="1FF041AE"/>
    <w:rsid w:val="1FFE717E"/>
    <w:rsid w:val="20055C73"/>
    <w:rsid w:val="20076CF3"/>
    <w:rsid w:val="201C0001"/>
    <w:rsid w:val="204E7819"/>
    <w:rsid w:val="20A372F0"/>
    <w:rsid w:val="20CB4BB3"/>
    <w:rsid w:val="213E16CC"/>
    <w:rsid w:val="216E446A"/>
    <w:rsid w:val="216F55CD"/>
    <w:rsid w:val="21704D32"/>
    <w:rsid w:val="21F07040"/>
    <w:rsid w:val="21F95906"/>
    <w:rsid w:val="22902033"/>
    <w:rsid w:val="22F14622"/>
    <w:rsid w:val="23637B75"/>
    <w:rsid w:val="23997488"/>
    <w:rsid w:val="24744770"/>
    <w:rsid w:val="249267E9"/>
    <w:rsid w:val="275C006B"/>
    <w:rsid w:val="276B0F6B"/>
    <w:rsid w:val="27B619BA"/>
    <w:rsid w:val="285C050E"/>
    <w:rsid w:val="29370BA0"/>
    <w:rsid w:val="2A9653EA"/>
    <w:rsid w:val="2AF0519A"/>
    <w:rsid w:val="2B3505C9"/>
    <w:rsid w:val="2B44120E"/>
    <w:rsid w:val="2B7251A1"/>
    <w:rsid w:val="2CFB503A"/>
    <w:rsid w:val="2D0F3610"/>
    <w:rsid w:val="2DAF6AA4"/>
    <w:rsid w:val="2DF16206"/>
    <w:rsid w:val="2E447434"/>
    <w:rsid w:val="2EC102CF"/>
    <w:rsid w:val="2F7470F0"/>
    <w:rsid w:val="308630DB"/>
    <w:rsid w:val="310877D6"/>
    <w:rsid w:val="31996818"/>
    <w:rsid w:val="322F25BC"/>
    <w:rsid w:val="323E5792"/>
    <w:rsid w:val="3282567F"/>
    <w:rsid w:val="32AF1344"/>
    <w:rsid w:val="33116D15"/>
    <w:rsid w:val="33356B95"/>
    <w:rsid w:val="337C71E2"/>
    <w:rsid w:val="33ED6206"/>
    <w:rsid w:val="345E6417"/>
    <w:rsid w:val="348A3282"/>
    <w:rsid w:val="349C2386"/>
    <w:rsid w:val="35154ED0"/>
    <w:rsid w:val="35310C1F"/>
    <w:rsid w:val="35635C3C"/>
    <w:rsid w:val="35D82F96"/>
    <w:rsid w:val="3601309E"/>
    <w:rsid w:val="373778B4"/>
    <w:rsid w:val="379D2C7F"/>
    <w:rsid w:val="37A458DA"/>
    <w:rsid w:val="37CF580A"/>
    <w:rsid w:val="384E752E"/>
    <w:rsid w:val="38675A43"/>
    <w:rsid w:val="39135CA7"/>
    <w:rsid w:val="394C6EB2"/>
    <w:rsid w:val="3A774A34"/>
    <w:rsid w:val="3AE96DA9"/>
    <w:rsid w:val="3B8033E5"/>
    <w:rsid w:val="3BA50630"/>
    <w:rsid w:val="3BFA02F7"/>
    <w:rsid w:val="3C7D414C"/>
    <w:rsid w:val="3CC309AB"/>
    <w:rsid w:val="3CE358B4"/>
    <w:rsid w:val="3E780D76"/>
    <w:rsid w:val="40737215"/>
    <w:rsid w:val="40F85902"/>
    <w:rsid w:val="42AA28AA"/>
    <w:rsid w:val="43F37E46"/>
    <w:rsid w:val="44123AED"/>
    <w:rsid w:val="44C85855"/>
    <w:rsid w:val="44D442E7"/>
    <w:rsid w:val="45000F8C"/>
    <w:rsid w:val="45697947"/>
    <w:rsid w:val="457D13A1"/>
    <w:rsid w:val="4759345D"/>
    <w:rsid w:val="47DD19DA"/>
    <w:rsid w:val="48CD242C"/>
    <w:rsid w:val="493279A7"/>
    <w:rsid w:val="496B0759"/>
    <w:rsid w:val="4A195FDD"/>
    <w:rsid w:val="4A6B0188"/>
    <w:rsid w:val="4ABB1D38"/>
    <w:rsid w:val="4C1D7892"/>
    <w:rsid w:val="4D5E548A"/>
    <w:rsid w:val="4E3917D8"/>
    <w:rsid w:val="4EB67BBA"/>
    <w:rsid w:val="4EF318AC"/>
    <w:rsid w:val="4F4E2679"/>
    <w:rsid w:val="4F4E5697"/>
    <w:rsid w:val="50225853"/>
    <w:rsid w:val="50D864D3"/>
    <w:rsid w:val="51086967"/>
    <w:rsid w:val="513F2C99"/>
    <w:rsid w:val="516E4782"/>
    <w:rsid w:val="52F952BE"/>
    <w:rsid w:val="53243C8C"/>
    <w:rsid w:val="534A24ED"/>
    <w:rsid w:val="53AF4999"/>
    <w:rsid w:val="55675746"/>
    <w:rsid w:val="556E394C"/>
    <w:rsid w:val="55797C08"/>
    <w:rsid w:val="55FB3E22"/>
    <w:rsid w:val="564E1B99"/>
    <w:rsid w:val="587A4EC7"/>
    <w:rsid w:val="59F561A9"/>
    <w:rsid w:val="5A6F5206"/>
    <w:rsid w:val="5DAE5A52"/>
    <w:rsid w:val="5E0D0BDF"/>
    <w:rsid w:val="5E854C0C"/>
    <w:rsid w:val="5F253730"/>
    <w:rsid w:val="5F5D78DC"/>
    <w:rsid w:val="601F0EAE"/>
    <w:rsid w:val="602E7188"/>
    <w:rsid w:val="620675AB"/>
    <w:rsid w:val="622B13D1"/>
    <w:rsid w:val="62AC7955"/>
    <w:rsid w:val="63265A48"/>
    <w:rsid w:val="63490652"/>
    <w:rsid w:val="64A86918"/>
    <w:rsid w:val="64F92C79"/>
    <w:rsid w:val="650E0CE2"/>
    <w:rsid w:val="656520E7"/>
    <w:rsid w:val="65CD15D6"/>
    <w:rsid w:val="66C27B44"/>
    <w:rsid w:val="68F93880"/>
    <w:rsid w:val="69037436"/>
    <w:rsid w:val="69112CDD"/>
    <w:rsid w:val="6951565F"/>
    <w:rsid w:val="69552DD1"/>
    <w:rsid w:val="69CB6804"/>
    <w:rsid w:val="6BE256D4"/>
    <w:rsid w:val="6C15171F"/>
    <w:rsid w:val="6E083216"/>
    <w:rsid w:val="6E342423"/>
    <w:rsid w:val="6E8A7348"/>
    <w:rsid w:val="6E9256FE"/>
    <w:rsid w:val="6EA70D04"/>
    <w:rsid w:val="6EC5277F"/>
    <w:rsid w:val="6F2B5042"/>
    <w:rsid w:val="6F5A2F04"/>
    <w:rsid w:val="711A28E5"/>
    <w:rsid w:val="71482881"/>
    <w:rsid w:val="71D2493E"/>
    <w:rsid w:val="71DB227A"/>
    <w:rsid w:val="71E40C1D"/>
    <w:rsid w:val="723122EE"/>
    <w:rsid w:val="725B6335"/>
    <w:rsid w:val="72794FA7"/>
    <w:rsid w:val="728824A2"/>
    <w:rsid w:val="730C2F2A"/>
    <w:rsid w:val="739B5F35"/>
    <w:rsid w:val="741A20CB"/>
    <w:rsid w:val="75762924"/>
    <w:rsid w:val="75CF7333"/>
    <w:rsid w:val="75FC38B9"/>
    <w:rsid w:val="768A5494"/>
    <w:rsid w:val="77274014"/>
    <w:rsid w:val="77854E73"/>
    <w:rsid w:val="797E31CB"/>
    <w:rsid w:val="7A277A18"/>
    <w:rsid w:val="7A9A1A11"/>
    <w:rsid w:val="7B9157EC"/>
    <w:rsid w:val="7BB578CB"/>
    <w:rsid w:val="7C3D28A5"/>
    <w:rsid w:val="7C5B0643"/>
    <w:rsid w:val="7E071097"/>
    <w:rsid w:val="7E463F5C"/>
    <w:rsid w:val="7E611631"/>
    <w:rsid w:val="7E6B05F1"/>
    <w:rsid w:val="7E6B3D8A"/>
    <w:rsid w:val="7F117663"/>
    <w:rsid w:val="7F6669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Body Text Indent"/>
    <w:basedOn w:val="1"/>
    <w:qFormat/>
    <w:uiPriority w:val="0"/>
    <w:pPr>
      <w:ind w:firstLine="600" w:firstLineChars="200"/>
    </w:pPr>
    <w:rPr>
      <w:rFonts w:eastAsia="仿宋_GB2312"/>
      <w:sz w:val="30"/>
      <w:szCs w:val="24"/>
    </w:rPr>
  </w:style>
  <w:style w:type="paragraph" w:styleId="4">
    <w:name w:val="Balloon Text"/>
    <w:basedOn w:val="1"/>
    <w:link w:val="13"/>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qFormat/>
    <w:uiPriority w:val="0"/>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qFormat/>
    <w:uiPriority w:val="0"/>
    <w:rPr>
      <w:sz w:val="21"/>
      <w:szCs w:val="21"/>
    </w:rPr>
  </w:style>
  <w:style w:type="character" w:customStyle="1" w:styleId="12">
    <w:name w:val="批注文字 Char"/>
    <w:link w:val="2"/>
    <w:qFormat/>
    <w:uiPriority w:val="99"/>
    <w:rPr>
      <w:kern w:val="2"/>
      <w:sz w:val="21"/>
      <w:szCs w:val="22"/>
    </w:rPr>
  </w:style>
  <w:style w:type="character" w:customStyle="1" w:styleId="13">
    <w:name w:val="批注框文本 Char"/>
    <w:link w:val="4"/>
    <w:qFormat/>
    <w:uiPriority w:val="0"/>
    <w:rPr>
      <w:kern w:val="2"/>
      <w:sz w:val="18"/>
      <w:szCs w:val="18"/>
    </w:rPr>
  </w:style>
  <w:style w:type="character" w:customStyle="1" w:styleId="14">
    <w:name w:val="批注主题 Char"/>
    <w:link w:val="7"/>
    <w:qFormat/>
    <w:uiPriority w:val="0"/>
  </w:style>
  <w:style w:type="character" w:customStyle="1" w:styleId="15">
    <w:name w:val="fontstyle01"/>
    <w:qFormat/>
    <w:uiPriority w:val="0"/>
    <w:rPr>
      <w:rFonts w:ascii="黑体" w:hAnsi="宋体" w:eastAsia="黑体" w:cs="黑体"/>
      <w:color w:val="000000"/>
      <w:sz w:val="32"/>
      <w:szCs w:val="32"/>
    </w:rPr>
  </w:style>
  <w:style w:type="paragraph" w:customStyle="1" w:styleId="16">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17">
    <w:name w:val="列出段落1"/>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9">
    <w:name w:val="List Paragraph"/>
    <w:basedOn w:val="1"/>
    <w:qFormat/>
    <w:uiPriority w:val="99"/>
    <w:pPr>
      <w:ind w:firstLine="420" w:firstLineChars="200"/>
    </w:pPr>
  </w:style>
  <w:style w:type="paragraph" w:customStyle="1" w:styleId="20">
    <w:name w:val="修订2"/>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333</Words>
  <Characters>1904</Characters>
  <Lines>15</Lines>
  <Paragraphs>4</Paragraphs>
  <TotalTime>0</TotalTime>
  <ScaleCrop>false</ScaleCrop>
  <LinksUpToDate>false</LinksUpToDate>
  <CharactersWithSpaces>2233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2025-06-18T02:07:00Z</dcterms:created>
  <dc:creator>zhiji</dc:creator>
  <cp:lastModifiedBy>JYHG</cp:lastModifiedBy>
  <cp:lastPrinted>2024-03-01T06:25:00Z</cp:lastPrinted>
  <dcterms:modified xsi:type="dcterms:W3CDTF">2026-04-09T08:34:36Z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C09CC7E77788404D87F183AC8E6A74F7</vt:lpwstr>
  </property>
  <property fmtid="{D5CDD505-2E9C-101B-9397-08002B2CF9AE}" pid="4" name="KSOTemplateDocerSaveRecord">
    <vt:lpwstr>eyJoZGlkIjoiYTI1ZmQzZjNkMWIyZWQ2NTg0MDA4YjEwNjdjNDIyYzUiLCJ1c2VySWQiOiIyNjY2MjkwNzMifQ==</vt:lpwstr>
  </property>
</Properties>
</file>