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0" w:lineRule="exact"/>
        <w:jc w:val="center"/>
        <w:rPr>
          <w:rFonts w:eastAsia="方正小标宋简体"/>
          <w:color w:val="auto"/>
          <w:sz w:val="44"/>
          <w:szCs w:val="44"/>
        </w:rPr>
      </w:pPr>
      <w:bookmarkStart w:id="0" w:name="_Hlk102659035"/>
      <w:bookmarkStart w:id="1" w:name="OLE_LINK1"/>
      <w:r>
        <w:rPr>
          <w:rFonts w:hint="eastAsia" w:eastAsia="方正小标宋简体"/>
          <w:color w:val="auto"/>
          <w:sz w:val="44"/>
          <w:szCs w:val="44"/>
        </w:rPr>
        <w:t>东莞市塑料一次性餐饮具</w:t>
      </w:r>
      <w:bookmarkEnd w:id="0"/>
      <w:r>
        <w:rPr>
          <w:rFonts w:hint="eastAsia" w:eastAsia="方正小标宋简体"/>
          <w:color w:val="auto"/>
          <w:sz w:val="44"/>
          <w:szCs w:val="44"/>
        </w:rPr>
        <w:t>产品质量监督</w:t>
      </w:r>
    </w:p>
    <w:p>
      <w:pPr>
        <w:adjustRightInd w:val="0"/>
        <w:snapToGrid w:val="0"/>
        <w:spacing w:line="590" w:lineRule="exact"/>
        <w:jc w:val="center"/>
        <w:rPr>
          <w:rFonts w:eastAsia="方正小标宋简体"/>
          <w:color w:val="auto"/>
          <w:sz w:val="44"/>
          <w:szCs w:val="44"/>
        </w:rPr>
      </w:pPr>
      <w:r>
        <w:rPr>
          <w:rFonts w:hint="eastAsia" w:eastAsia="方正小标宋简体"/>
          <w:color w:val="auto"/>
          <w:sz w:val="44"/>
          <w:szCs w:val="44"/>
        </w:rPr>
        <w:t>抽查实施细则</w:t>
      </w:r>
    </w:p>
    <w:p>
      <w:pPr>
        <w:adjustRightInd w:val="0"/>
        <w:snapToGrid w:val="0"/>
        <w:spacing w:line="590" w:lineRule="exact"/>
        <w:jc w:val="center"/>
        <w:rPr>
          <w:rFonts w:eastAsia="楷体_GB2312"/>
          <w:color w:val="auto"/>
          <w:sz w:val="32"/>
          <w:szCs w:val="32"/>
        </w:rPr>
      </w:pPr>
      <w:r>
        <w:rPr>
          <w:rFonts w:hint="eastAsia" w:eastAsia="楷体_GB2312"/>
          <w:color w:val="auto"/>
          <w:sz w:val="32"/>
          <w:szCs w:val="32"/>
        </w:rPr>
        <w:t>（202</w:t>
      </w:r>
      <w:r>
        <w:rPr>
          <w:rFonts w:hint="eastAsia" w:eastAsia="楷体_GB2312"/>
          <w:color w:val="auto"/>
          <w:sz w:val="32"/>
          <w:szCs w:val="32"/>
          <w:lang w:val="en-US" w:eastAsia="zh-CN"/>
        </w:rPr>
        <w:t>6</w:t>
      </w:r>
      <w:r>
        <w:rPr>
          <w:rFonts w:hint="eastAsia" w:eastAsia="楷体_GB2312"/>
          <w:color w:val="auto"/>
          <w:sz w:val="32"/>
          <w:szCs w:val="32"/>
        </w:rPr>
        <w:t>年版）</w:t>
      </w:r>
    </w:p>
    <w:bookmarkEnd w:id="1"/>
    <w:p>
      <w:pPr>
        <w:snapToGrid w:val="0"/>
        <w:spacing w:line="590" w:lineRule="exact"/>
        <w:ind w:firstLine="640" w:firstLineChars="200"/>
        <w:rPr>
          <w:rFonts w:eastAsia="黑体"/>
          <w:color w:val="auto"/>
          <w:sz w:val="32"/>
          <w:szCs w:val="32"/>
        </w:rPr>
      </w:pPr>
      <w:r>
        <w:rPr>
          <w:rFonts w:hint="eastAsia" w:eastAsia="黑体"/>
          <w:color w:val="auto"/>
          <w:sz w:val="32"/>
          <w:szCs w:val="32"/>
        </w:rPr>
        <w:t>1 抽样方法</w:t>
      </w:r>
    </w:p>
    <w:p>
      <w:pPr>
        <w:adjustRightInd w:val="0"/>
        <w:snapToGrid w:val="0"/>
        <w:spacing w:line="590" w:lineRule="exact"/>
        <w:ind w:firstLine="640" w:firstLineChars="200"/>
        <w:rPr>
          <w:rFonts w:eastAsia="仿宋_GB2312"/>
          <w:color w:val="auto"/>
          <w:sz w:val="32"/>
          <w:szCs w:val="32"/>
        </w:rPr>
      </w:pPr>
      <w:r>
        <w:rPr>
          <w:rFonts w:hint="eastAsia" w:eastAsia="仿宋_GB2312"/>
          <w:color w:val="auto"/>
          <w:sz w:val="32"/>
          <w:szCs w:val="32"/>
        </w:rPr>
        <w:t>以随机抽样的方式在被抽样生产者、销售者的待销产品中抽取。</w:t>
      </w:r>
    </w:p>
    <w:p>
      <w:pPr>
        <w:adjustRightInd w:val="0"/>
        <w:snapToGrid w:val="0"/>
        <w:spacing w:line="590" w:lineRule="exact"/>
        <w:ind w:firstLine="640" w:firstLineChars="200"/>
        <w:rPr>
          <w:rFonts w:eastAsia="仿宋_GB2312"/>
          <w:color w:val="auto"/>
          <w:sz w:val="32"/>
          <w:szCs w:val="32"/>
        </w:rPr>
      </w:pPr>
      <w:r>
        <w:rPr>
          <w:rFonts w:hint="eastAsia" w:eastAsia="仿宋_GB2312"/>
          <w:color w:val="auto"/>
          <w:sz w:val="32"/>
          <w:szCs w:val="32"/>
        </w:rPr>
        <w:t>随机数一般可使用随机数表等方法产生。</w:t>
      </w:r>
    </w:p>
    <w:p>
      <w:pPr>
        <w:adjustRightInd w:val="0"/>
        <w:snapToGrid w:val="0"/>
        <w:spacing w:line="590" w:lineRule="exact"/>
        <w:ind w:firstLine="640" w:firstLineChars="200"/>
        <w:rPr>
          <w:rFonts w:eastAsia="仿宋_GB2312"/>
          <w:color w:val="auto"/>
          <w:sz w:val="32"/>
          <w:szCs w:val="32"/>
        </w:rPr>
      </w:pPr>
      <w:r>
        <w:rPr>
          <w:rFonts w:hint="eastAsia" w:eastAsia="仿宋_GB2312"/>
          <w:color w:val="auto"/>
          <w:sz w:val="32"/>
          <w:szCs w:val="32"/>
        </w:rPr>
        <w:t>每批次产品抽取不少于3份最小销售独立包装，每份样品抽样数量不少于40只/个，其中2份作为检验样品，1份作为备用样品。每份样品质量应不少于100 g且与食品接触面的最小表面积应不小于10 dm</w:t>
      </w:r>
      <w:r>
        <w:rPr>
          <w:rFonts w:hint="eastAsia" w:eastAsia="仿宋_GB2312"/>
          <w:color w:val="auto"/>
          <w:sz w:val="32"/>
          <w:szCs w:val="32"/>
          <w:vertAlign w:val="superscript"/>
        </w:rPr>
        <w:t>2</w:t>
      </w:r>
      <w:r>
        <w:rPr>
          <w:rFonts w:hint="eastAsia" w:eastAsia="仿宋_GB2312"/>
          <w:color w:val="auto"/>
          <w:sz w:val="32"/>
          <w:szCs w:val="32"/>
        </w:rPr>
        <w:t>（若最小销售包装不是40只/个的整数倍，需按采样数折算，保证检样不少于80只/个，备样不少于40只/个，避免损坏原包装）。</w:t>
      </w:r>
    </w:p>
    <w:p>
      <w:pPr>
        <w:snapToGrid w:val="0"/>
        <w:spacing w:line="590" w:lineRule="exact"/>
        <w:ind w:firstLine="640" w:firstLineChars="200"/>
        <w:rPr>
          <w:rFonts w:eastAsia="黑体"/>
          <w:color w:val="auto"/>
          <w:sz w:val="32"/>
          <w:szCs w:val="32"/>
        </w:rPr>
      </w:pPr>
      <w:r>
        <w:rPr>
          <w:rFonts w:hint="eastAsia" w:eastAsia="黑体"/>
          <w:color w:val="auto"/>
          <w:sz w:val="32"/>
          <w:szCs w:val="32"/>
        </w:rPr>
        <w:t>2 检验依据</w:t>
      </w:r>
    </w:p>
    <w:p>
      <w:pPr>
        <w:adjustRightInd w:val="0"/>
        <w:snapToGrid w:val="0"/>
        <w:rPr>
          <w:rFonts w:cs="宋体"/>
          <w:color w:val="auto"/>
          <w:szCs w:val="21"/>
        </w:rPr>
      </w:pPr>
    </w:p>
    <w:tbl>
      <w:tblPr>
        <w:tblStyle w:val="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2913"/>
        <w:gridCol w:w="2510"/>
        <w:gridCol w:w="2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669" w:type="pct"/>
            <w:vAlign w:val="center"/>
          </w:tcPr>
          <w:p>
            <w:pPr>
              <w:adjustRightInd w:val="0"/>
              <w:snapToGrid w:val="0"/>
              <w:spacing w:line="400" w:lineRule="exact"/>
              <w:jc w:val="center"/>
              <w:rPr>
                <w:rFonts w:eastAsia="黑体"/>
                <w:color w:val="auto"/>
                <w:sz w:val="24"/>
                <w:szCs w:val="24"/>
              </w:rPr>
            </w:pPr>
            <w:bookmarkStart w:id="2" w:name="OLE_LINK2"/>
            <w:bookmarkStart w:id="3" w:name="_Hlk40347690"/>
            <w:r>
              <w:rPr>
                <w:rFonts w:hint="eastAsia" w:eastAsia="黑体"/>
                <w:color w:val="auto"/>
                <w:sz w:val="24"/>
                <w:szCs w:val="24"/>
              </w:rPr>
              <w:t>序号</w:t>
            </w:r>
          </w:p>
        </w:tc>
        <w:tc>
          <w:tcPr>
            <w:tcW w:w="1589" w:type="pct"/>
            <w:vAlign w:val="center"/>
          </w:tcPr>
          <w:p>
            <w:pPr>
              <w:adjustRightInd w:val="0"/>
              <w:snapToGrid w:val="0"/>
              <w:spacing w:line="400" w:lineRule="exact"/>
              <w:jc w:val="center"/>
              <w:rPr>
                <w:rFonts w:eastAsia="黑体"/>
                <w:color w:val="auto"/>
                <w:sz w:val="24"/>
                <w:szCs w:val="24"/>
              </w:rPr>
            </w:pPr>
            <w:r>
              <w:rPr>
                <w:rFonts w:hint="eastAsia" w:eastAsia="黑体"/>
                <w:color w:val="auto"/>
                <w:sz w:val="24"/>
                <w:szCs w:val="24"/>
              </w:rPr>
              <w:t>检验项目</w:t>
            </w:r>
          </w:p>
        </w:tc>
        <w:tc>
          <w:tcPr>
            <w:tcW w:w="1369" w:type="pct"/>
            <w:vAlign w:val="center"/>
          </w:tcPr>
          <w:p>
            <w:pPr>
              <w:adjustRightInd w:val="0"/>
              <w:snapToGrid w:val="0"/>
              <w:spacing w:line="400" w:lineRule="exact"/>
              <w:jc w:val="center"/>
              <w:rPr>
                <w:rFonts w:eastAsia="黑体"/>
                <w:color w:val="auto"/>
                <w:sz w:val="24"/>
                <w:szCs w:val="24"/>
              </w:rPr>
            </w:pPr>
            <w:r>
              <w:rPr>
                <w:rFonts w:hint="eastAsia" w:eastAsia="黑体"/>
                <w:color w:val="auto"/>
                <w:sz w:val="24"/>
                <w:szCs w:val="24"/>
              </w:rPr>
              <w:t>检验依据</w:t>
            </w:r>
          </w:p>
        </w:tc>
        <w:tc>
          <w:tcPr>
            <w:tcW w:w="1371" w:type="pct"/>
            <w:vAlign w:val="center"/>
          </w:tcPr>
          <w:p>
            <w:pPr>
              <w:adjustRightInd w:val="0"/>
              <w:snapToGrid w:val="0"/>
              <w:spacing w:line="400" w:lineRule="exact"/>
              <w:jc w:val="center"/>
              <w:rPr>
                <w:rFonts w:eastAsia="黑体"/>
                <w:color w:val="auto"/>
                <w:sz w:val="24"/>
                <w:szCs w:val="24"/>
              </w:rPr>
            </w:pPr>
            <w:r>
              <w:rPr>
                <w:rFonts w:hint="eastAsia" w:eastAsia="黑体"/>
                <w:color w:val="auto"/>
                <w:sz w:val="24"/>
                <w:szCs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感官要求</w:t>
            </w:r>
          </w:p>
        </w:tc>
        <w:tc>
          <w:tcPr>
            <w:tcW w:w="136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37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总迁移量</w:t>
            </w:r>
          </w:p>
        </w:tc>
        <w:tc>
          <w:tcPr>
            <w:tcW w:w="136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37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高锰酸钾消耗量</w:t>
            </w:r>
          </w:p>
        </w:tc>
        <w:tc>
          <w:tcPr>
            <w:tcW w:w="136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37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GB 31604.2—2016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重金属（以Pb计）</w:t>
            </w:r>
          </w:p>
        </w:tc>
        <w:tc>
          <w:tcPr>
            <w:tcW w:w="136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37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GB 31604.9—2016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脱色试验</w:t>
            </w:r>
          </w:p>
        </w:tc>
        <w:tc>
          <w:tcPr>
            <w:tcW w:w="136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37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芳香族伯胺迁移总量</w:t>
            </w:r>
          </w:p>
        </w:tc>
        <w:tc>
          <w:tcPr>
            <w:tcW w:w="136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37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特定迁移量（以锑计）（限PET 材质）</w:t>
            </w:r>
          </w:p>
        </w:tc>
        <w:tc>
          <w:tcPr>
            <w:tcW w:w="136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9685—2016</w:t>
            </w:r>
          </w:p>
        </w:tc>
        <w:tc>
          <w:tcPr>
            <w:tcW w:w="1371" w:type="pct"/>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31604.41</w:t>
            </w:r>
            <w:bookmarkStart w:id="4" w:name="OLE_LINK4"/>
            <w:r>
              <w:rPr>
                <w:rFonts w:hint="eastAsia" w:ascii="仿宋_GB2312" w:hAnsi="仿宋_GB2312" w:eastAsia="仿宋_GB2312" w:cs="仿宋_GB2312"/>
                <w:color w:val="auto"/>
                <w:sz w:val="24"/>
                <w:szCs w:val="24"/>
              </w:rPr>
              <w:t>—</w:t>
            </w:r>
            <w:bookmarkEnd w:id="4"/>
            <w:r>
              <w:rPr>
                <w:rFonts w:hint="eastAsia" w:ascii="仿宋_GB2312" w:hAnsi="仿宋_GB2312" w:eastAsia="仿宋_GB2312" w:cs="仿宋_GB2312"/>
                <w:color w:val="auto"/>
                <w:sz w:val="24"/>
                <w:szCs w:val="24"/>
              </w:rPr>
              <w:t>2016</w:t>
            </w:r>
          </w:p>
          <w:p>
            <w:pPr>
              <w:adjustRightInd w:val="0"/>
              <w:snapToGrid w:val="0"/>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GB 31604.49</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特定迁移总量（以己内酰胺计）（限PA材质）</w:t>
            </w:r>
          </w:p>
        </w:tc>
        <w:tc>
          <w:tcPr>
            <w:tcW w:w="136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37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GB 31604.19—2016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氯乙烯特定迁移量</w:t>
            </w:r>
          </w:p>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（限PVC、PVDC材质）</w:t>
            </w:r>
          </w:p>
        </w:tc>
        <w:tc>
          <w:tcPr>
            <w:tcW w:w="136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371" w:type="pct"/>
            <w:vAlign w:val="center"/>
          </w:tcPr>
          <w:p>
            <w:pPr>
              <w:adjustRightInd w:val="0"/>
              <w:snapToGrid w:val="0"/>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GB 31604.31—20</w:t>
            </w:r>
            <w:r>
              <w:rPr>
                <w:rFonts w:hint="eastAsia" w:ascii="仿宋_GB2312" w:hAnsi="仿宋_GB2312" w:eastAsia="仿宋_GB2312" w:cs="仿宋_GB2312"/>
                <w:color w:val="auto"/>
                <w:sz w:val="24"/>
                <w:szCs w:val="24"/>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大肠菌群</w:t>
            </w:r>
          </w:p>
        </w:tc>
        <w:tc>
          <w:tcPr>
            <w:tcW w:w="1369" w:type="pct"/>
            <w:vAlign w:val="center"/>
          </w:tcPr>
          <w:p>
            <w:pPr>
              <w:adjustRightInd w:val="0"/>
              <w:snapToGrid w:val="0"/>
              <w:jc w:val="center"/>
              <w:rPr>
                <w:rFonts w:hint="eastAsia" w:ascii="仿宋_GB2312" w:hAnsi="仿宋_GB2312" w:eastAsia="仿宋_GB2312" w:cs="仿宋_GB2312"/>
                <w:color w:val="auto"/>
                <w:sz w:val="24"/>
                <w:szCs w:val="24"/>
              </w:rPr>
            </w:pPr>
            <w:r>
              <w:rPr>
                <w:color w:val="auto"/>
              </w:rPr>
              <w:fldChar w:fldCharType="begin"/>
            </w:r>
            <w:r>
              <w:rPr>
                <w:color w:val="auto"/>
              </w:rPr>
              <w:instrText xml:space="preserve"> HYPERLINK "http://www.bzsb.info/javascript:void(0);" </w:instrText>
            </w:r>
            <w:r>
              <w:rPr>
                <w:color w:val="auto"/>
              </w:rPr>
              <w:fldChar w:fldCharType="separate"/>
            </w:r>
            <w:r>
              <w:rPr>
                <w:rFonts w:hint="eastAsia" w:ascii="仿宋_GB2312" w:hAnsi="仿宋_GB2312" w:eastAsia="仿宋_GB2312" w:cs="仿宋_GB2312"/>
                <w:color w:val="auto"/>
                <w:sz w:val="24"/>
                <w:szCs w:val="24"/>
              </w:rPr>
              <w:t>GB/T 18006.1—2009</w:t>
            </w:r>
            <w:r>
              <w:rPr>
                <w:rFonts w:hint="eastAsia" w:ascii="仿宋_GB2312" w:hAnsi="仿宋_GB2312" w:eastAsia="仿宋_GB2312" w:cs="仿宋_GB2312"/>
                <w:color w:val="auto"/>
                <w:sz w:val="24"/>
                <w:szCs w:val="24"/>
              </w:rPr>
              <w:fldChar w:fldCharType="end"/>
            </w:r>
          </w:p>
        </w:tc>
        <w:tc>
          <w:tcPr>
            <w:tcW w:w="137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沙门氏菌</w:t>
            </w:r>
          </w:p>
        </w:tc>
        <w:tc>
          <w:tcPr>
            <w:tcW w:w="1369" w:type="pct"/>
            <w:vAlign w:val="center"/>
          </w:tcPr>
          <w:p>
            <w:pPr>
              <w:adjustRightInd w:val="0"/>
              <w:snapToGrid w:val="0"/>
              <w:jc w:val="center"/>
              <w:rPr>
                <w:rFonts w:ascii="仿宋_GB2312" w:hAnsi="仿宋_GB2312" w:eastAsia="仿宋_GB2312" w:cs="仿宋_GB2312"/>
                <w:color w:val="auto"/>
                <w:sz w:val="24"/>
                <w:szCs w:val="24"/>
              </w:rPr>
            </w:pPr>
            <w:r>
              <w:rPr>
                <w:color w:val="auto"/>
              </w:rPr>
              <w:fldChar w:fldCharType="begin"/>
            </w:r>
            <w:r>
              <w:rPr>
                <w:color w:val="auto"/>
              </w:rPr>
              <w:instrText xml:space="preserve"> HYPERLINK "http://www.bzsb.info/javascript:void(0);" </w:instrText>
            </w:r>
            <w:r>
              <w:rPr>
                <w:color w:val="auto"/>
              </w:rPr>
              <w:fldChar w:fldCharType="separate"/>
            </w:r>
            <w:r>
              <w:rPr>
                <w:rFonts w:hint="eastAsia" w:ascii="仿宋_GB2312" w:hAnsi="仿宋_GB2312" w:eastAsia="仿宋_GB2312" w:cs="仿宋_GB2312"/>
                <w:color w:val="auto"/>
                <w:sz w:val="24"/>
                <w:szCs w:val="24"/>
              </w:rPr>
              <w:t>GB/T 18006.1—2009</w:t>
            </w:r>
            <w:r>
              <w:rPr>
                <w:rFonts w:hint="eastAsia" w:ascii="仿宋_GB2312" w:hAnsi="仿宋_GB2312" w:eastAsia="仿宋_GB2312" w:cs="仿宋_GB2312"/>
                <w:color w:val="auto"/>
                <w:sz w:val="24"/>
                <w:szCs w:val="24"/>
              </w:rPr>
              <w:fldChar w:fldCharType="end"/>
            </w:r>
          </w:p>
        </w:tc>
        <w:tc>
          <w:tcPr>
            <w:tcW w:w="137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霉菌计数</w:t>
            </w:r>
          </w:p>
        </w:tc>
        <w:tc>
          <w:tcPr>
            <w:tcW w:w="1369" w:type="pct"/>
            <w:vAlign w:val="center"/>
          </w:tcPr>
          <w:p>
            <w:pPr>
              <w:adjustRightInd w:val="0"/>
              <w:snapToGrid w:val="0"/>
              <w:jc w:val="center"/>
              <w:rPr>
                <w:rFonts w:ascii="仿宋_GB2312" w:hAnsi="仿宋_GB2312" w:eastAsia="仿宋_GB2312" w:cs="仿宋_GB2312"/>
                <w:color w:val="auto"/>
                <w:sz w:val="24"/>
                <w:szCs w:val="24"/>
              </w:rPr>
            </w:pPr>
            <w:r>
              <w:rPr>
                <w:color w:val="auto"/>
              </w:rPr>
              <w:fldChar w:fldCharType="begin"/>
            </w:r>
            <w:r>
              <w:rPr>
                <w:color w:val="auto"/>
              </w:rPr>
              <w:instrText xml:space="preserve"> HYPERLINK "http://www.bzsb.info/javascript:void(0);" </w:instrText>
            </w:r>
            <w:r>
              <w:rPr>
                <w:color w:val="auto"/>
              </w:rPr>
              <w:fldChar w:fldCharType="separate"/>
            </w:r>
            <w:r>
              <w:rPr>
                <w:rFonts w:hint="eastAsia" w:ascii="仿宋_GB2312" w:hAnsi="仿宋_GB2312" w:eastAsia="仿宋_GB2312" w:cs="仿宋_GB2312"/>
                <w:color w:val="auto"/>
                <w:sz w:val="24"/>
                <w:szCs w:val="24"/>
              </w:rPr>
              <w:t>GB/T 18006.1—2009</w:t>
            </w:r>
            <w:r>
              <w:rPr>
                <w:rFonts w:hint="eastAsia" w:ascii="仿宋_GB2312" w:hAnsi="仿宋_GB2312" w:eastAsia="仿宋_GB2312" w:cs="仿宋_GB2312"/>
                <w:color w:val="auto"/>
                <w:sz w:val="24"/>
                <w:szCs w:val="24"/>
              </w:rPr>
              <w:fldChar w:fldCharType="end"/>
            </w:r>
          </w:p>
        </w:tc>
        <w:tc>
          <w:tcPr>
            <w:tcW w:w="137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GB 4789.15—2016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特定迁移总量（以对苯二甲酸计）（限PET、PB（A）T材质）</w:t>
            </w:r>
          </w:p>
        </w:tc>
        <w:tc>
          <w:tcPr>
            <w:tcW w:w="136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371" w:type="pct"/>
            <w:vAlign w:val="center"/>
          </w:tcPr>
          <w:p>
            <w:pPr>
              <w:adjustRightInd w:val="0"/>
              <w:snapToGrid w:val="0"/>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GB 31604.21—20</w:t>
            </w:r>
            <w:r>
              <w:rPr>
                <w:rFonts w:hint="eastAsia" w:ascii="仿宋_GB2312" w:hAnsi="仿宋_GB2312" w:eastAsia="仿宋_GB2312" w:cs="仿宋_GB2312"/>
                <w:color w:val="auto"/>
                <w:sz w:val="24"/>
                <w:szCs w:val="24"/>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特定迁移总量（以1,2-乙二醇计）（限PET材质）</w:t>
            </w:r>
          </w:p>
        </w:tc>
        <w:tc>
          <w:tcPr>
            <w:tcW w:w="136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37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31604.44—2016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特定迁移总量（以1,4-丁二醇计）（限PB（A）T材质）</w:t>
            </w:r>
          </w:p>
        </w:tc>
        <w:tc>
          <w:tcPr>
            <w:tcW w:w="136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37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31604.51—2021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1,3-丁二烯特定迁移量（限有丁二烯单体的聚合物）</w:t>
            </w:r>
          </w:p>
        </w:tc>
        <w:tc>
          <w:tcPr>
            <w:tcW w:w="136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37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31604.12—2016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邻苯类增塑剂特定迁移量</w:t>
            </w:r>
          </w:p>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（限PVC材质）</w:t>
            </w:r>
          </w:p>
        </w:tc>
        <w:tc>
          <w:tcPr>
            <w:tcW w:w="1369"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9685—2016</w:t>
            </w:r>
          </w:p>
        </w:tc>
        <w:tc>
          <w:tcPr>
            <w:tcW w:w="137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31604.30—2025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bookmarkStart w:id="5" w:name="OLE_LINK5" w:colFirst="2" w:colLast="3"/>
          </w:p>
        </w:tc>
        <w:tc>
          <w:tcPr>
            <w:tcW w:w="1589" w:type="pct"/>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容积偏差</w:t>
            </w:r>
          </w:p>
        </w:tc>
        <w:tc>
          <w:tcPr>
            <w:tcW w:w="1369" w:type="pct"/>
            <w:vAlign w:val="center"/>
          </w:tcPr>
          <w:p>
            <w:pPr>
              <w:snapToGrid w:val="0"/>
              <w:spacing w:line="3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18006.1-2009</w:t>
            </w:r>
          </w:p>
          <w:p>
            <w:pPr>
              <w:snapToGrid w:val="0"/>
              <w:spacing w:line="300" w:lineRule="exact"/>
              <w:jc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GB/T 18006.1-</w:t>
            </w:r>
            <w:r>
              <w:rPr>
                <w:rFonts w:hint="eastAsia" w:ascii="仿宋_GB2312" w:hAnsi="仿宋_GB2312" w:eastAsia="仿宋_GB2312" w:cs="仿宋_GB2312"/>
                <w:color w:val="auto"/>
                <w:sz w:val="24"/>
                <w:lang w:val="en-US" w:eastAsia="zh-CN"/>
              </w:rPr>
              <w:t>2025</w:t>
            </w:r>
          </w:p>
          <w:p>
            <w:pPr>
              <w:snapToGrid w:val="0"/>
              <w:spacing w:line="3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18006.3-2020</w:t>
            </w:r>
          </w:p>
        </w:tc>
        <w:tc>
          <w:tcPr>
            <w:tcW w:w="1371" w:type="pct"/>
            <w:vAlign w:val="center"/>
          </w:tcPr>
          <w:p>
            <w:pP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18006.1-2009</w:t>
            </w:r>
          </w:p>
          <w:p>
            <w:pPr>
              <w:snapToGrid w:val="0"/>
              <w:spacing w:line="300" w:lineRule="exac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18006.1-</w:t>
            </w:r>
            <w:r>
              <w:rPr>
                <w:rFonts w:hint="eastAsia" w:ascii="仿宋_GB2312" w:hAnsi="仿宋_GB2312" w:eastAsia="仿宋_GB2312" w:cs="仿宋_GB2312"/>
                <w:color w:val="auto"/>
                <w:sz w:val="24"/>
                <w:lang w:val="en-US" w:eastAsia="zh-CN"/>
              </w:rPr>
              <w:t>2025</w:t>
            </w:r>
          </w:p>
          <w:p>
            <w:pPr>
              <w:rPr>
                <w:rFonts w:ascii="仿宋_GB2312" w:hAnsi="仿宋_GB2312" w:eastAsia="仿宋_GB2312" w:cs="仿宋_GB2312"/>
                <w:color w:val="auto"/>
                <w:sz w:val="24"/>
              </w:rPr>
            </w:pPr>
            <w:r>
              <w:rPr>
                <w:rFonts w:hint="eastAsia" w:ascii="仿宋_GB2312" w:hAnsi="仿宋_GB2312" w:eastAsia="仿宋_GB2312" w:cs="仿宋_GB2312"/>
                <w:color w:val="auto"/>
                <w:sz w:val="24"/>
              </w:rPr>
              <w:t>GB/T 18006.3-2020</w:t>
            </w:r>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669" w:type="pct"/>
            <w:vAlign w:val="center"/>
          </w:tcPr>
          <w:p>
            <w:pPr>
              <w:numPr>
                <w:ilvl w:val="0"/>
                <w:numId w:val="1"/>
              </w:numPr>
              <w:adjustRightInd w:val="0"/>
              <w:snapToGrid w:val="0"/>
              <w:jc w:val="center"/>
              <w:rPr>
                <w:rFonts w:ascii="仿宋_GB2312" w:hAnsi="仿宋_GB2312" w:eastAsia="仿宋_GB2312" w:cs="仿宋_GB2312"/>
                <w:color w:val="auto"/>
                <w:sz w:val="24"/>
                <w:szCs w:val="24"/>
              </w:rPr>
            </w:pPr>
          </w:p>
        </w:tc>
        <w:tc>
          <w:tcPr>
            <w:tcW w:w="1589" w:type="pct"/>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负重性能</w:t>
            </w:r>
          </w:p>
        </w:tc>
        <w:tc>
          <w:tcPr>
            <w:tcW w:w="1369" w:type="pct"/>
            <w:vAlign w:val="center"/>
          </w:tcPr>
          <w:p>
            <w:pPr>
              <w:snapToGrid w:val="0"/>
              <w:spacing w:line="30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18006.1-2009</w:t>
            </w:r>
          </w:p>
          <w:p>
            <w:pPr>
              <w:snapToGrid w:val="0"/>
              <w:spacing w:line="300" w:lineRule="exact"/>
              <w:jc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GB/T 18006.1-</w:t>
            </w:r>
            <w:r>
              <w:rPr>
                <w:rFonts w:hint="eastAsia" w:ascii="仿宋_GB2312" w:hAnsi="仿宋_GB2312" w:eastAsia="仿宋_GB2312" w:cs="仿宋_GB2312"/>
                <w:color w:val="auto"/>
                <w:sz w:val="24"/>
                <w:lang w:val="en-US" w:eastAsia="zh-CN"/>
              </w:rPr>
              <w:t>2025</w:t>
            </w:r>
          </w:p>
          <w:p>
            <w:pPr>
              <w:snapToGrid w:val="0"/>
              <w:spacing w:line="300" w:lineRule="exact"/>
              <w:jc w:val="center"/>
              <w:rPr>
                <w:rFonts w:hint="eastAsia" w:ascii="仿宋_GB2312" w:hAnsi="仿宋_GB2312" w:eastAsia="仿宋_GB2312" w:cs="仿宋_GB2312"/>
                <w:color w:val="auto"/>
                <w:kern w:val="2"/>
                <w:sz w:val="24"/>
                <w:szCs w:val="22"/>
                <w:lang w:val="en-US" w:eastAsia="zh-CN" w:bidi="ar-SA"/>
              </w:rPr>
            </w:pPr>
            <w:r>
              <w:rPr>
                <w:rFonts w:hint="eastAsia" w:ascii="仿宋_GB2312" w:hAnsi="仿宋_GB2312" w:eastAsia="仿宋_GB2312" w:cs="仿宋_GB2312"/>
                <w:color w:val="auto"/>
                <w:sz w:val="24"/>
              </w:rPr>
              <w:t>GB/T 18006.3-2020</w:t>
            </w:r>
          </w:p>
        </w:tc>
        <w:tc>
          <w:tcPr>
            <w:tcW w:w="1371" w:type="pct"/>
            <w:vAlign w:val="center"/>
          </w:tcPr>
          <w:p>
            <w:pP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18006.1-2009</w:t>
            </w:r>
          </w:p>
          <w:p>
            <w:pPr>
              <w:snapToGrid w:val="0"/>
              <w:spacing w:line="300" w:lineRule="exac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18006.1-</w:t>
            </w:r>
            <w:r>
              <w:rPr>
                <w:rFonts w:hint="eastAsia" w:ascii="仿宋_GB2312" w:hAnsi="仿宋_GB2312" w:eastAsia="仿宋_GB2312" w:cs="仿宋_GB2312"/>
                <w:color w:val="auto"/>
                <w:sz w:val="24"/>
                <w:lang w:val="en-US" w:eastAsia="zh-CN"/>
              </w:rPr>
              <w:t>2025</w:t>
            </w:r>
          </w:p>
          <w:p>
            <w:pPr>
              <w:rPr>
                <w:rFonts w:hint="eastAsia" w:ascii="仿宋_GB2312" w:hAnsi="仿宋_GB2312" w:eastAsia="仿宋_GB2312" w:cs="仿宋_GB2312"/>
                <w:color w:val="auto"/>
                <w:kern w:val="2"/>
                <w:sz w:val="24"/>
                <w:szCs w:val="22"/>
                <w:lang w:val="en-US" w:eastAsia="zh-CN" w:bidi="ar-SA"/>
              </w:rPr>
            </w:pPr>
            <w:r>
              <w:rPr>
                <w:rFonts w:hint="eastAsia" w:ascii="仿宋_GB2312" w:hAnsi="仿宋_GB2312" w:eastAsia="仿宋_GB2312" w:cs="仿宋_GB2312"/>
                <w:color w:val="auto"/>
                <w:sz w:val="24"/>
              </w:rPr>
              <w:t>GB/T 18006.3-2020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00" w:type="pct"/>
            <w:gridSpan w:val="4"/>
            <w:vAlign w:val="center"/>
          </w:tcPr>
          <w:p>
            <w:pPr>
              <w:adjustRightInd w:val="0"/>
              <w:snapToGrid w:val="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注：1.高锰酸钾消耗量不适用于淀粉含量≥40%的淀粉基塑料材料及制品。</w:t>
            </w:r>
          </w:p>
          <w:p>
            <w:pPr>
              <w:adjustRightInd w:val="0"/>
              <w:snapToGrid w:val="0"/>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.脱色试验项目仅适用于添加着色剂的产品。</w:t>
            </w:r>
          </w:p>
          <w:p>
            <w:pPr>
              <w:adjustRightInd w:val="0"/>
              <w:snapToGrid w:val="0"/>
              <w:ind w:firstLine="480" w:firstLineChars="20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rPr>
              <w:t>3</w:t>
            </w:r>
            <w:r>
              <w:rPr>
                <w:rFonts w:hint="eastAsia" w:ascii="仿宋_GB2312" w:hAnsi="仿宋_GB2312" w:eastAsia="仿宋_GB2312" w:cs="仿宋_GB2312"/>
                <w:color w:val="auto"/>
                <w:kern w:val="0"/>
                <w:sz w:val="24"/>
                <w:szCs w:val="24"/>
              </w:rPr>
              <w:t>.</w:t>
            </w:r>
            <w:r>
              <w:rPr>
                <w:rFonts w:hint="eastAsia" w:ascii="仿宋_GB2312" w:hAnsi="仿宋_GB2312" w:eastAsia="仿宋_GB2312" w:cs="仿宋_GB2312"/>
                <w:color w:val="auto"/>
                <w:sz w:val="24"/>
                <w:szCs w:val="24"/>
              </w:rPr>
              <w:t>容积偏差仅对具有容器盛装功能的一次性餐饮具有要求，对刀、叉、勺、筷、碟、盘等不作要求。</w:t>
            </w:r>
          </w:p>
          <w:p>
            <w:pPr>
              <w:adjustRightInd w:val="0"/>
              <w:snapToGrid w:val="0"/>
              <w:ind w:firstLine="480" w:firstLineChars="200"/>
              <w:jc w:val="lef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4.第10，11、12项仅适用于执行标准为GB/T 18006.1—2009</w:t>
            </w:r>
          </w:p>
          <w:p>
            <w:pPr>
              <w:adjustRightInd w:val="0"/>
              <w:snapToGrid w:val="0"/>
              <w:ind w:firstLine="480" w:firstLineChars="200"/>
              <w:jc w:val="left"/>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5.第19项仅适用于往年该项目的</w:t>
            </w:r>
            <w:bookmarkStart w:id="7" w:name="_GoBack"/>
            <w:bookmarkEnd w:id="7"/>
            <w:r>
              <w:rPr>
                <w:rFonts w:hint="eastAsia" w:ascii="仿宋_GB2312" w:hAnsi="仿宋_GB2312" w:eastAsia="仿宋_GB2312" w:cs="仿宋_GB2312"/>
                <w:color w:val="auto"/>
                <w:sz w:val="24"/>
                <w:szCs w:val="24"/>
                <w:lang w:val="en-US" w:eastAsia="zh-CN"/>
              </w:rPr>
              <w:t>不合格跟踪检测。</w:t>
            </w:r>
          </w:p>
        </w:tc>
      </w:tr>
      <w:bookmarkEnd w:id="2"/>
    </w:tbl>
    <w:p>
      <w:pPr>
        <w:adjustRightInd w:val="0"/>
        <w:snapToGrid w:val="0"/>
        <w:spacing w:line="590" w:lineRule="exact"/>
        <w:ind w:firstLine="640" w:firstLineChars="200"/>
        <w:rPr>
          <w:rFonts w:eastAsia="仿宋_GB2312"/>
          <w:color w:val="auto"/>
          <w:sz w:val="32"/>
          <w:szCs w:val="32"/>
        </w:rPr>
      </w:pPr>
      <w:r>
        <w:rPr>
          <w:rFonts w:hint="eastAsia" w:eastAsia="仿宋_GB2312"/>
          <w:color w:val="auto"/>
          <w:sz w:val="32"/>
          <w:szCs w:val="32"/>
        </w:rPr>
        <w:t>执行企业标准、团体标准、地方标准的产品，检验项目参照上述内容执行。</w:t>
      </w:r>
    </w:p>
    <w:bookmarkEnd w:id="3"/>
    <w:p>
      <w:pPr>
        <w:adjustRightInd w:val="0"/>
        <w:snapToGrid w:val="0"/>
        <w:spacing w:line="590" w:lineRule="exact"/>
        <w:ind w:firstLine="640" w:firstLineChars="200"/>
        <w:rPr>
          <w:rFonts w:eastAsia="仿宋_GB2312"/>
          <w:color w:val="auto"/>
          <w:sz w:val="32"/>
          <w:szCs w:val="32"/>
        </w:rPr>
      </w:pPr>
      <w:r>
        <w:rPr>
          <w:rFonts w:hint="eastAsia" w:eastAsia="仿宋_GB2312"/>
          <w:color w:val="auto"/>
          <w:sz w:val="32"/>
          <w:szCs w:val="32"/>
        </w:rPr>
        <w:t>凡是注日期的文件，其随后所有的修改单（不包括勘误的内容）或修订版不适用于本细则。凡是不注日期的文件，其最新版本适用于本细则。</w:t>
      </w:r>
    </w:p>
    <w:p>
      <w:pPr>
        <w:snapToGrid w:val="0"/>
        <w:spacing w:line="590" w:lineRule="exact"/>
        <w:ind w:firstLine="640" w:firstLineChars="200"/>
        <w:rPr>
          <w:rFonts w:eastAsia="黑体"/>
          <w:color w:val="auto"/>
          <w:sz w:val="32"/>
          <w:szCs w:val="32"/>
        </w:rPr>
      </w:pPr>
      <w:r>
        <w:rPr>
          <w:rFonts w:hint="eastAsia" w:eastAsia="黑体"/>
          <w:color w:val="auto"/>
          <w:sz w:val="32"/>
          <w:szCs w:val="32"/>
        </w:rPr>
        <w:t>3 判定规则</w:t>
      </w:r>
    </w:p>
    <w:p>
      <w:pPr>
        <w:adjustRightInd w:val="0"/>
        <w:snapToGrid w:val="0"/>
        <w:spacing w:line="590" w:lineRule="exact"/>
        <w:ind w:firstLine="640" w:firstLineChars="200"/>
        <w:rPr>
          <w:rFonts w:eastAsia="仿宋_GB2312"/>
          <w:color w:val="auto"/>
          <w:sz w:val="32"/>
          <w:szCs w:val="32"/>
        </w:rPr>
      </w:pPr>
      <w:r>
        <w:rPr>
          <w:rFonts w:hint="eastAsia" w:eastAsia="仿宋_GB2312"/>
          <w:color w:val="auto"/>
          <w:sz w:val="32"/>
          <w:szCs w:val="32"/>
        </w:rPr>
        <w:t>3.1依据标准</w:t>
      </w:r>
    </w:p>
    <w:p>
      <w:pPr>
        <w:spacing w:line="590" w:lineRule="exact"/>
        <w:ind w:firstLine="640" w:firstLineChars="200"/>
        <w:rPr>
          <w:rFonts w:eastAsia="仿宋_GB2312"/>
          <w:color w:val="auto"/>
          <w:sz w:val="32"/>
          <w:szCs w:val="32"/>
          <w:lang w:bidi="ar"/>
        </w:rPr>
      </w:pPr>
      <w:r>
        <w:rPr>
          <w:rFonts w:hint="eastAsia" w:eastAsia="仿宋_GB2312"/>
          <w:color w:val="auto"/>
          <w:sz w:val="32"/>
          <w:szCs w:val="32"/>
          <w:lang w:bidi="ar"/>
        </w:rPr>
        <w:t>GB 4806.7—2023 食品安全国家标准 食品接触用塑料材料及制品</w:t>
      </w:r>
    </w:p>
    <w:p>
      <w:pPr>
        <w:spacing w:line="590" w:lineRule="exact"/>
        <w:ind w:firstLine="640" w:firstLineChars="200"/>
        <w:rPr>
          <w:rFonts w:eastAsia="仿宋_GB2312"/>
          <w:color w:val="auto"/>
          <w:sz w:val="32"/>
          <w:szCs w:val="32"/>
          <w:lang w:bidi="ar"/>
        </w:rPr>
      </w:pPr>
      <w:r>
        <w:rPr>
          <w:rFonts w:hint="eastAsia" w:eastAsia="仿宋_GB2312"/>
          <w:color w:val="auto"/>
          <w:sz w:val="32"/>
          <w:szCs w:val="32"/>
          <w:lang w:bidi="ar"/>
        </w:rPr>
        <w:t>GB 9685</w:t>
      </w:r>
      <w:r>
        <w:rPr>
          <w:rFonts w:eastAsia="仿宋_GB2312"/>
          <w:color w:val="auto"/>
          <w:sz w:val="32"/>
          <w:szCs w:val="32"/>
          <w:lang w:bidi="ar"/>
        </w:rPr>
        <w:t>—</w:t>
      </w:r>
      <w:r>
        <w:rPr>
          <w:rFonts w:hint="eastAsia" w:eastAsia="仿宋_GB2312"/>
          <w:color w:val="auto"/>
          <w:sz w:val="32"/>
          <w:szCs w:val="32"/>
          <w:lang w:bidi="ar"/>
        </w:rPr>
        <w:t>2016 食品安全国家标准 食品接触材料及制品用添加剂使用标准</w:t>
      </w:r>
    </w:p>
    <w:p>
      <w:pPr>
        <w:spacing w:line="590" w:lineRule="exact"/>
        <w:ind w:firstLine="640" w:firstLineChars="200"/>
        <w:rPr>
          <w:rFonts w:eastAsia="仿宋_GB2312"/>
          <w:color w:val="auto"/>
          <w:sz w:val="32"/>
          <w:szCs w:val="32"/>
          <w:lang w:bidi="ar"/>
        </w:rPr>
      </w:pPr>
      <w:r>
        <w:rPr>
          <w:rFonts w:hint="eastAsia" w:eastAsia="仿宋_GB2312"/>
          <w:color w:val="auto"/>
          <w:sz w:val="32"/>
          <w:szCs w:val="32"/>
          <w:lang w:bidi="ar"/>
        </w:rPr>
        <w:t>GB 14934</w:t>
      </w:r>
      <w:r>
        <w:rPr>
          <w:rFonts w:eastAsia="仿宋_GB2312"/>
          <w:color w:val="auto"/>
          <w:sz w:val="32"/>
          <w:szCs w:val="32"/>
          <w:lang w:bidi="ar"/>
        </w:rPr>
        <w:t>—</w:t>
      </w:r>
      <w:r>
        <w:rPr>
          <w:rFonts w:hint="eastAsia" w:eastAsia="仿宋_GB2312"/>
          <w:color w:val="auto"/>
          <w:sz w:val="32"/>
          <w:szCs w:val="32"/>
          <w:lang w:bidi="ar"/>
        </w:rPr>
        <w:t>2016 食品安全国家标准 消毒餐(饮)具</w:t>
      </w:r>
    </w:p>
    <w:p>
      <w:pPr>
        <w:spacing w:line="590" w:lineRule="exact"/>
        <w:ind w:firstLine="630" w:firstLineChars="300"/>
        <w:rPr>
          <w:rFonts w:hint="eastAsia" w:eastAsia="仿宋_GB2312"/>
          <w:color w:val="auto"/>
          <w:sz w:val="32"/>
          <w:szCs w:val="32"/>
          <w:lang w:bidi="ar"/>
        </w:rPr>
      </w:pPr>
      <w:r>
        <w:rPr>
          <w:color w:val="auto"/>
        </w:rPr>
        <w:fldChar w:fldCharType="begin"/>
      </w:r>
      <w:r>
        <w:rPr>
          <w:color w:val="auto"/>
        </w:rPr>
        <w:instrText xml:space="preserve"> HYPERLINK "http://www.bzsb.info/javascript:void(0);" </w:instrText>
      </w:r>
      <w:r>
        <w:rPr>
          <w:color w:val="auto"/>
        </w:rPr>
        <w:fldChar w:fldCharType="separate"/>
      </w:r>
      <w:r>
        <w:rPr>
          <w:rFonts w:hint="eastAsia" w:eastAsia="仿宋_GB2312"/>
          <w:color w:val="auto"/>
          <w:sz w:val="32"/>
          <w:szCs w:val="32"/>
          <w:lang w:bidi="ar"/>
        </w:rPr>
        <w:t>GB/T 18006.1</w:t>
      </w:r>
      <w:r>
        <w:rPr>
          <w:rFonts w:eastAsia="仿宋_GB2312"/>
          <w:color w:val="auto"/>
          <w:sz w:val="32"/>
          <w:szCs w:val="32"/>
          <w:lang w:bidi="ar"/>
        </w:rPr>
        <w:t>—</w:t>
      </w:r>
      <w:r>
        <w:rPr>
          <w:rFonts w:hint="eastAsia" w:eastAsia="仿宋_GB2312"/>
          <w:color w:val="auto"/>
          <w:sz w:val="32"/>
          <w:szCs w:val="32"/>
          <w:lang w:bidi="ar"/>
        </w:rPr>
        <w:t>2009</w:t>
      </w:r>
      <w:r>
        <w:rPr>
          <w:rFonts w:hint="eastAsia" w:eastAsia="仿宋_GB2312"/>
          <w:color w:val="auto"/>
          <w:sz w:val="32"/>
          <w:szCs w:val="32"/>
          <w:lang w:bidi="ar"/>
        </w:rPr>
        <w:fldChar w:fldCharType="end"/>
      </w:r>
      <w:r>
        <w:rPr>
          <w:rFonts w:hint="eastAsia" w:eastAsia="仿宋_GB2312"/>
          <w:color w:val="auto"/>
          <w:sz w:val="32"/>
          <w:szCs w:val="32"/>
          <w:lang w:bidi="ar"/>
        </w:rPr>
        <w:t xml:space="preserve"> </w:t>
      </w:r>
      <w:bookmarkStart w:id="6" w:name="OLE_LINK3"/>
      <w:r>
        <w:rPr>
          <w:rFonts w:hint="eastAsia" w:eastAsia="仿宋_GB2312"/>
          <w:color w:val="auto"/>
          <w:sz w:val="32"/>
          <w:szCs w:val="32"/>
          <w:lang w:bidi="ar"/>
        </w:rPr>
        <w:t>塑料一次性餐饮具通用技术要求</w:t>
      </w:r>
      <w:bookmarkEnd w:id="6"/>
    </w:p>
    <w:p>
      <w:pPr>
        <w:spacing w:line="590" w:lineRule="exact"/>
        <w:ind w:firstLine="640" w:firstLineChars="200"/>
        <w:rPr>
          <w:rFonts w:hint="eastAsia" w:eastAsia="仿宋_GB2312"/>
          <w:color w:val="auto"/>
          <w:sz w:val="32"/>
          <w:szCs w:val="32"/>
          <w:lang w:bidi="ar"/>
        </w:rPr>
      </w:pPr>
      <w:r>
        <w:rPr>
          <w:rFonts w:hint="eastAsia" w:eastAsia="仿宋_GB2312"/>
          <w:color w:val="auto"/>
          <w:sz w:val="32"/>
          <w:szCs w:val="32"/>
          <w:lang w:bidi="ar"/>
        </w:rPr>
        <w:t>GB/T 18006.1</w:t>
      </w:r>
      <w:r>
        <w:rPr>
          <w:rFonts w:eastAsia="仿宋_GB2312"/>
          <w:color w:val="auto"/>
          <w:sz w:val="32"/>
          <w:szCs w:val="32"/>
          <w:lang w:bidi="ar"/>
        </w:rPr>
        <w:t>—</w:t>
      </w:r>
      <w:r>
        <w:rPr>
          <w:rFonts w:hint="eastAsia" w:eastAsia="仿宋_GB2312"/>
          <w:color w:val="auto"/>
          <w:sz w:val="32"/>
          <w:szCs w:val="32"/>
          <w:lang w:bidi="ar"/>
        </w:rPr>
        <w:t>2025塑料一次性餐饮具通用技术要求</w:t>
      </w:r>
    </w:p>
    <w:p>
      <w:pPr>
        <w:spacing w:line="590" w:lineRule="exact"/>
        <w:ind w:firstLine="640" w:firstLineChars="200"/>
        <w:rPr>
          <w:rFonts w:hint="default" w:eastAsia="仿宋_GB2312"/>
          <w:color w:val="auto"/>
          <w:sz w:val="32"/>
          <w:szCs w:val="32"/>
          <w:lang w:val="en-US" w:eastAsia="zh-CN" w:bidi="ar"/>
        </w:rPr>
      </w:pPr>
      <w:r>
        <w:rPr>
          <w:rFonts w:hint="eastAsia" w:eastAsia="仿宋_GB2312"/>
          <w:color w:val="auto"/>
          <w:sz w:val="32"/>
          <w:szCs w:val="32"/>
          <w:lang w:val="en-US" w:eastAsia="zh-CN" w:bidi="ar"/>
        </w:rPr>
        <w:t>GB/T 18006.3</w:t>
      </w:r>
      <w:r>
        <w:rPr>
          <w:rFonts w:eastAsia="仿宋_GB2312"/>
          <w:color w:val="auto"/>
          <w:sz w:val="32"/>
          <w:szCs w:val="32"/>
          <w:lang w:bidi="ar"/>
        </w:rPr>
        <w:t>—</w:t>
      </w:r>
      <w:r>
        <w:rPr>
          <w:rFonts w:hint="eastAsia" w:eastAsia="仿宋_GB2312"/>
          <w:color w:val="auto"/>
          <w:sz w:val="32"/>
          <w:szCs w:val="32"/>
          <w:lang w:val="en-US" w:eastAsia="zh-CN" w:bidi="ar"/>
        </w:rPr>
        <w:t>2020 一次性可降解餐饮具通用技术要求</w:t>
      </w:r>
    </w:p>
    <w:p>
      <w:pPr>
        <w:spacing w:line="590" w:lineRule="exact"/>
        <w:ind w:firstLine="640" w:firstLineChars="200"/>
        <w:rPr>
          <w:rFonts w:eastAsia="仿宋_GB2312"/>
          <w:color w:val="auto"/>
          <w:sz w:val="32"/>
          <w:szCs w:val="32"/>
          <w:lang w:bidi="ar"/>
        </w:rPr>
      </w:pPr>
      <w:r>
        <w:rPr>
          <w:rFonts w:hint="eastAsia" w:eastAsia="仿宋_GB2312"/>
          <w:color w:val="auto"/>
          <w:sz w:val="32"/>
          <w:szCs w:val="32"/>
          <w:lang w:bidi="ar"/>
        </w:rPr>
        <w:t>现行有效的企业标准、团体标准、地方标准及产品明示质量要求</w:t>
      </w:r>
    </w:p>
    <w:p>
      <w:pPr>
        <w:adjustRightInd w:val="0"/>
        <w:snapToGrid w:val="0"/>
        <w:spacing w:line="590" w:lineRule="exact"/>
        <w:ind w:firstLine="640" w:firstLineChars="200"/>
        <w:rPr>
          <w:rFonts w:eastAsia="仿宋_GB2312"/>
          <w:color w:val="auto"/>
          <w:sz w:val="32"/>
          <w:szCs w:val="32"/>
        </w:rPr>
      </w:pPr>
      <w:r>
        <w:rPr>
          <w:rFonts w:hint="eastAsia" w:eastAsia="仿宋_GB2312"/>
          <w:color w:val="auto"/>
          <w:sz w:val="32"/>
          <w:szCs w:val="32"/>
        </w:rPr>
        <w:t>3.2判定原则</w:t>
      </w:r>
    </w:p>
    <w:p>
      <w:pPr>
        <w:spacing w:line="590" w:lineRule="exact"/>
        <w:ind w:firstLine="640" w:firstLineChars="200"/>
        <w:rPr>
          <w:rFonts w:eastAsia="仿宋_GB2312"/>
          <w:color w:val="auto"/>
          <w:sz w:val="32"/>
          <w:szCs w:val="32"/>
        </w:rPr>
      </w:pPr>
      <w:r>
        <w:rPr>
          <w:rFonts w:hint="eastAsia" w:eastAsia="仿宋_GB2312"/>
          <w:color w:val="auto"/>
          <w:sz w:val="32"/>
          <w:szCs w:val="32"/>
        </w:rPr>
        <w:t>经检验，检验项目全部合格，</w:t>
      </w:r>
      <w:r>
        <w:rPr>
          <w:rFonts w:eastAsia="仿宋_GB2312"/>
          <w:color w:val="auto"/>
          <w:sz w:val="32"/>
          <w:szCs w:val="32"/>
        </w:rPr>
        <w:t>判定为被抽查产品</w:t>
      </w:r>
      <w:r>
        <w:rPr>
          <w:rFonts w:hint="eastAsia" w:eastAsia="仿宋_GB2312"/>
          <w:color w:val="auto"/>
          <w:sz w:val="32"/>
          <w:szCs w:val="32"/>
        </w:rPr>
        <w:t>所检项目未发现不</w:t>
      </w:r>
      <w:r>
        <w:rPr>
          <w:rFonts w:eastAsia="仿宋_GB2312"/>
          <w:color w:val="auto"/>
          <w:sz w:val="32"/>
          <w:szCs w:val="32"/>
        </w:rPr>
        <w:t>合格；</w:t>
      </w:r>
      <w:r>
        <w:rPr>
          <w:rFonts w:hint="eastAsia" w:eastAsia="仿宋_GB2312"/>
          <w:color w:val="auto"/>
          <w:sz w:val="32"/>
          <w:szCs w:val="32"/>
        </w:rPr>
        <w:t>检验项目中任一项或一项以上不合格，判定为被抽查产品不合格。</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若被检产品明示的质量要求高于本细则中检验项目依据的标准要求时，应按被检产品明示的质量要求判定。</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若被检产品明示的质量要求低于本细则中检验项目依据的强制性标准要求时，应按照强制性标准要求判定。</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若被检产品明示的质量要求低于或包含本细则中检验项目依据的推荐性标准要求时，应以被检产品明示的质量要求判定。</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若被检产品明示的质量要求缺少本细则中检验项目依据的强制性标准要求时，应按照强制性标准要求判定。</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若被检产品明示的质量要求缺少本细则中检验项目依据的推荐性标准要求时，该项目不参与判定。</w:t>
      </w:r>
    </w:p>
    <w:p>
      <w:pPr>
        <w:spacing w:line="590" w:lineRule="exact"/>
        <w:ind w:firstLine="640" w:firstLineChars="200"/>
        <w:rPr>
          <w:rFonts w:eastAsia="仿宋_GB2312"/>
          <w:color w:val="auto"/>
          <w:sz w:val="32"/>
          <w:szCs w:val="32"/>
        </w:rPr>
      </w:pPr>
      <w:r>
        <w:rPr>
          <w:rFonts w:eastAsia="仿宋_GB2312"/>
          <w:color w:val="auto"/>
          <w:sz w:val="32"/>
          <w:szCs w:val="32"/>
        </w:rPr>
        <w:t>依据GB 4789.1—2016 《食品安全国家标准 食品微生物学检验 总则》第7.3条规定“检验结果报告后，剩余样品和同批产品不进行微生物项目的复检”，微生物指标不合格不进行复检。</w:t>
      </w:r>
    </w:p>
    <w:p>
      <w:pPr>
        <w:snapToGrid w:val="0"/>
        <w:spacing w:line="440" w:lineRule="exact"/>
        <w:ind w:firstLine="417" w:firstLineChars="199"/>
        <w:rPr>
          <w:color w:val="auto"/>
          <w:szCs w:val="21"/>
        </w:rPr>
      </w:pPr>
    </w:p>
    <w:p>
      <w:pPr>
        <w:widowControl/>
        <w:spacing w:line="360" w:lineRule="auto"/>
        <w:ind w:left="-360" w:firstLine="840" w:firstLineChars="400"/>
        <w:rPr>
          <w:color w:val="auto"/>
          <w:szCs w:val="21"/>
        </w:rPr>
      </w:pPr>
    </w:p>
    <w:sectPr>
      <w:headerReference r:id="rId3" w:type="default"/>
      <w:footerReference r:id="rId4" w:type="default"/>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0AD906-3C5A-41D7-88F8-3F480BF1151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26AB836-09BA-4EC6-AC23-1761C41717A2}"/>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embedRegular r:id="rId3" w:fontKey="{AC0B6E6E-32D4-4419-ABC8-26509888840C}"/>
  </w:font>
  <w:font w:name="楷体_GB2312">
    <w:panose1 w:val="02010609030101010101"/>
    <w:charset w:val="86"/>
    <w:family w:val="modern"/>
    <w:pitch w:val="default"/>
    <w:sig w:usb0="00000001" w:usb1="080E0000" w:usb2="00000000" w:usb3="00000000" w:csb0="00040000" w:csb1="00000000"/>
    <w:embedRegular r:id="rId4" w:fontKey="{3AB72B3F-DFFC-437E-A672-3F4723E8320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lang w:val="zh-CN"/>
      </w:rPr>
      <w:fldChar w:fldCharType="end"/>
    </w:r>
  </w:p>
  <w:p>
    <w:pPr>
      <w:pStyle w:val="5"/>
      <w:ind w:right="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03EADD"/>
    <w:multiLevelType w:val="singleLevel"/>
    <w:tmpl w:val="F303EADD"/>
    <w:lvl w:ilvl="0" w:tentative="0">
      <w:start w:val="1"/>
      <w:numFmt w:val="decimal"/>
      <w:lvlText w:val="%1"/>
      <w:lvlJc w:val="center"/>
      <w:pPr>
        <w:ind w:left="279" w:hanging="13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NGE3NzhjZmRkZWIxOTQ3NWQ3ZGM1NDJlYzkwOTUifQ=="/>
  </w:docVars>
  <w:rsids>
    <w:rsidRoot w:val="004E7F45"/>
    <w:rsid w:val="000223BA"/>
    <w:rsid w:val="00025E70"/>
    <w:rsid w:val="00026930"/>
    <w:rsid w:val="000600FC"/>
    <w:rsid w:val="000612B1"/>
    <w:rsid w:val="000765AD"/>
    <w:rsid w:val="000C39EF"/>
    <w:rsid w:val="000D0B7A"/>
    <w:rsid w:val="000D1C32"/>
    <w:rsid w:val="000E7B63"/>
    <w:rsid w:val="000F504B"/>
    <w:rsid w:val="001001F2"/>
    <w:rsid w:val="00111BFA"/>
    <w:rsid w:val="00126B4B"/>
    <w:rsid w:val="0013492D"/>
    <w:rsid w:val="00190058"/>
    <w:rsid w:val="001E192B"/>
    <w:rsid w:val="001E7D67"/>
    <w:rsid w:val="001F5300"/>
    <w:rsid w:val="00262E0C"/>
    <w:rsid w:val="00263965"/>
    <w:rsid w:val="002917F2"/>
    <w:rsid w:val="002961CD"/>
    <w:rsid w:val="002A3A1E"/>
    <w:rsid w:val="002D2966"/>
    <w:rsid w:val="002E746B"/>
    <w:rsid w:val="0033027F"/>
    <w:rsid w:val="00331A97"/>
    <w:rsid w:val="00345C28"/>
    <w:rsid w:val="00347DD7"/>
    <w:rsid w:val="00391B32"/>
    <w:rsid w:val="003D5388"/>
    <w:rsid w:val="003F7705"/>
    <w:rsid w:val="004064D4"/>
    <w:rsid w:val="00421E58"/>
    <w:rsid w:val="0045794D"/>
    <w:rsid w:val="00471367"/>
    <w:rsid w:val="0048431A"/>
    <w:rsid w:val="004E7F45"/>
    <w:rsid w:val="004F4966"/>
    <w:rsid w:val="0051209D"/>
    <w:rsid w:val="00532F8D"/>
    <w:rsid w:val="0054077C"/>
    <w:rsid w:val="00556FBD"/>
    <w:rsid w:val="00571A64"/>
    <w:rsid w:val="00590F96"/>
    <w:rsid w:val="005A736C"/>
    <w:rsid w:val="005E6927"/>
    <w:rsid w:val="006219F8"/>
    <w:rsid w:val="00626CB9"/>
    <w:rsid w:val="00632556"/>
    <w:rsid w:val="006351B3"/>
    <w:rsid w:val="00646A2D"/>
    <w:rsid w:val="0065579C"/>
    <w:rsid w:val="0068760D"/>
    <w:rsid w:val="006C56E0"/>
    <w:rsid w:val="006F4369"/>
    <w:rsid w:val="007844F1"/>
    <w:rsid w:val="00787AC2"/>
    <w:rsid w:val="00791A66"/>
    <w:rsid w:val="007978AC"/>
    <w:rsid w:val="007A4F3E"/>
    <w:rsid w:val="007E6AED"/>
    <w:rsid w:val="0082334C"/>
    <w:rsid w:val="00862859"/>
    <w:rsid w:val="0088588D"/>
    <w:rsid w:val="008A1D26"/>
    <w:rsid w:val="008A34E5"/>
    <w:rsid w:val="008B7A03"/>
    <w:rsid w:val="008C2AA1"/>
    <w:rsid w:val="008C2DE1"/>
    <w:rsid w:val="008D4A5A"/>
    <w:rsid w:val="00902C4C"/>
    <w:rsid w:val="0091647C"/>
    <w:rsid w:val="0091790E"/>
    <w:rsid w:val="00925465"/>
    <w:rsid w:val="009371D2"/>
    <w:rsid w:val="009833AD"/>
    <w:rsid w:val="009A74F5"/>
    <w:rsid w:val="009F1D5A"/>
    <w:rsid w:val="00A04474"/>
    <w:rsid w:val="00A16BB9"/>
    <w:rsid w:val="00A24F9E"/>
    <w:rsid w:val="00A34CC6"/>
    <w:rsid w:val="00A42486"/>
    <w:rsid w:val="00A829B7"/>
    <w:rsid w:val="00A92D5B"/>
    <w:rsid w:val="00A941B5"/>
    <w:rsid w:val="00A95981"/>
    <w:rsid w:val="00AC1FA9"/>
    <w:rsid w:val="00AD527D"/>
    <w:rsid w:val="00AE0D56"/>
    <w:rsid w:val="00AF34B8"/>
    <w:rsid w:val="00AF3B5B"/>
    <w:rsid w:val="00AF46D5"/>
    <w:rsid w:val="00B01E14"/>
    <w:rsid w:val="00B24BD0"/>
    <w:rsid w:val="00B4221B"/>
    <w:rsid w:val="00B44E4C"/>
    <w:rsid w:val="00B61C35"/>
    <w:rsid w:val="00B942CB"/>
    <w:rsid w:val="00BA4D5F"/>
    <w:rsid w:val="00BA5623"/>
    <w:rsid w:val="00BB1D93"/>
    <w:rsid w:val="00BC2935"/>
    <w:rsid w:val="00BE1502"/>
    <w:rsid w:val="00C2557D"/>
    <w:rsid w:val="00C25CB5"/>
    <w:rsid w:val="00C3154A"/>
    <w:rsid w:val="00C37F41"/>
    <w:rsid w:val="00C454DF"/>
    <w:rsid w:val="00C50932"/>
    <w:rsid w:val="00C87D52"/>
    <w:rsid w:val="00CD772F"/>
    <w:rsid w:val="00CE4FD7"/>
    <w:rsid w:val="00CE5418"/>
    <w:rsid w:val="00D10BD4"/>
    <w:rsid w:val="00D541C8"/>
    <w:rsid w:val="00D5626E"/>
    <w:rsid w:val="00D867EF"/>
    <w:rsid w:val="00D92B63"/>
    <w:rsid w:val="00D9409B"/>
    <w:rsid w:val="00DA4552"/>
    <w:rsid w:val="00DA52B0"/>
    <w:rsid w:val="00DF15F6"/>
    <w:rsid w:val="00DF4DCE"/>
    <w:rsid w:val="00E26257"/>
    <w:rsid w:val="00E864B9"/>
    <w:rsid w:val="00E93AD3"/>
    <w:rsid w:val="00E96ACA"/>
    <w:rsid w:val="00EB3B67"/>
    <w:rsid w:val="00EE0DA2"/>
    <w:rsid w:val="00F07ACA"/>
    <w:rsid w:val="00F14A6A"/>
    <w:rsid w:val="00F15254"/>
    <w:rsid w:val="00F2567C"/>
    <w:rsid w:val="00F76949"/>
    <w:rsid w:val="00F85554"/>
    <w:rsid w:val="00F94DCB"/>
    <w:rsid w:val="00F95581"/>
    <w:rsid w:val="00FF2630"/>
    <w:rsid w:val="01A131C3"/>
    <w:rsid w:val="01FB18B7"/>
    <w:rsid w:val="024B3ED5"/>
    <w:rsid w:val="032C2CC0"/>
    <w:rsid w:val="03F95510"/>
    <w:rsid w:val="0435030D"/>
    <w:rsid w:val="050161E5"/>
    <w:rsid w:val="05545442"/>
    <w:rsid w:val="056915AB"/>
    <w:rsid w:val="057B705B"/>
    <w:rsid w:val="07555753"/>
    <w:rsid w:val="08915161"/>
    <w:rsid w:val="09837BF5"/>
    <w:rsid w:val="0B043AC3"/>
    <w:rsid w:val="0CA16AA5"/>
    <w:rsid w:val="0D5E33E4"/>
    <w:rsid w:val="0E986DA6"/>
    <w:rsid w:val="10E96DCA"/>
    <w:rsid w:val="118D70CB"/>
    <w:rsid w:val="11A97B1A"/>
    <w:rsid w:val="12173371"/>
    <w:rsid w:val="12EE04EB"/>
    <w:rsid w:val="13172CDE"/>
    <w:rsid w:val="142E2B41"/>
    <w:rsid w:val="146050F4"/>
    <w:rsid w:val="15097FDB"/>
    <w:rsid w:val="150E1C7B"/>
    <w:rsid w:val="15326481"/>
    <w:rsid w:val="15861A43"/>
    <w:rsid w:val="15F1076B"/>
    <w:rsid w:val="16A57807"/>
    <w:rsid w:val="17084D5A"/>
    <w:rsid w:val="188E1215"/>
    <w:rsid w:val="18B11774"/>
    <w:rsid w:val="19EE2BE9"/>
    <w:rsid w:val="1A10785A"/>
    <w:rsid w:val="1A291462"/>
    <w:rsid w:val="1A9221AF"/>
    <w:rsid w:val="1B0978C3"/>
    <w:rsid w:val="1BDD60C2"/>
    <w:rsid w:val="1BEC669B"/>
    <w:rsid w:val="1C0559C8"/>
    <w:rsid w:val="1DCA3D55"/>
    <w:rsid w:val="1E1060D3"/>
    <w:rsid w:val="1E3265FA"/>
    <w:rsid w:val="1E730109"/>
    <w:rsid w:val="1FE932D4"/>
    <w:rsid w:val="1FF041AE"/>
    <w:rsid w:val="1FFE717E"/>
    <w:rsid w:val="20055C73"/>
    <w:rsid w:val="20076CF3"/>
    <w:rsid w:val="201C0001"/>
    <w:rsid w:val="204E7819"/>
    <w:rsid w:val="209B7E14"/>
    <w:rsid w:val="20A372F0"/>
    <w:rsid w:val="20CB4BB3"/>
    <w:rsid w:val="213E16CC"/>
    <w:rsid w:val="216F55CD"/>
    <w:rsid w:val="21F07040"/>
    <w:rsid w:val="22224638"/>
    <w:rsid w:val="22702DA9"/>
    <w:rsid w:val="22902033"/>
    <w:rsid w:val="22F14622"/>
    <w:rsid w:val="23997488"/>
    <w:rsid w:val="24185F38"/>
    <w:rsid w:val="24744770"/>
    <w:rsid w:val="249267E9"/>
    <w:rsid w:val="25D71F2A"/>
    <w:rsid w:val="276B0F6B"/>
    <w:rsid w:val="27B619BA"/>
    <w:rsid w:val="289A10EF"/>
    <w:rsid w:val="29370BA0"/>
    <w:rsid w:val="29FE6D57"/>
    <w:rsid w:val="2A9653EA"/>
    <w:rsid w:val="2AF0519A"/>
    <w:rsid w:val="2B3505C9"/>
    <w:rsid w:val="2B7251A1"/>
    <w:rsid w:val="2BA06E91"/>
    <w:rsid w:val="2D0F3610"/>
    <w:rsid w:val="2DAF6AA4"/>
    <w:rsid w:val="2E447434"/>
    <w:rsid w:val="2F2203D9"/>
    <w:rsid w:val="2F7401D4"/>
    <w:rsid w:val="2F7470F0"/>
    <w:rsid w:val="308630DB"/>
    <w:rsid w:val="310877D6"/>
    <w:rsid w:val="311114DA"/>
    <w:rsid w:val="31996818"/>
    <w:rsid w:val="322F25BC"/>
    <w:rsid w:val="324D7947"/>
    <w:rsid w:val="325272D3"/>
    <w:rsid w:val="3282567F"/>
    <w:rsid w:val="32AF1344"/>
    <w:rsid w:val="337C71E2"/>
    <w:rsid w:val="33CF6533"/>
    <w:rsid w:val="33ED6206"/>
    <w:rsid w:val="34222F33"/>
    <w:rsid w:val="345E6417"/>
    <w:rsid w:val="34755852"/>
    <w:rsid w:val="348A3282"/>
    <w:rsid w:val="35D82F96"/>
    <w:rsid w:val="3601309E"/>
    <w:rsid w:val="36A6576C"/>
    <w:rsid w:val="373778B4"/>
    <w:rsid w:val="379D2C7F"/>
    <w:rsid w:val="37A458DA"/>
    <w:rsid w:val="37CF580A"/>
    <w:rsid w:val="384E752E"/>
    <w:rsid w:val="38C1670E"/>
    <w:rsid w:val="39135CA7"/>
    <w:rsid w:val="394C6EB2"/>
    <w:rsid w:val="3A774A34"/>
    <w:rsid w:val="3AE96DA9"/>
    <w:rsid w:val="3BFA02F7"/>
    <w:rsid w:val="3C7D414C"/>
    <w:rsid w:val="3CC309AB"/>
    <w:rsid w:val="3E142187"/>
    <w:rsid w:val="3E780D76"/>
    <w:rsid w:val="3F1E3B0A"/>
    <w:rsid w:val="405B2D0B"/>
    <w:rsid w:val="40664C8A"/>
    <w:rsid w:val="40F85902"/>
    <w:rsid w:val="42AA28AA"/>
    <w:rsid w:val="43436E77"/>
    <w:rsid w:val="43F37E46"/>
    <w:rsid w:val="44123AED"/>
    <w:rsid w:val="44C85855"/>
    <w:rsid w:val="45000F8C"/>
    <w:rsid w:val="45697947"/>
    <w:rsid w:val="46D83F4D"/>
    <w:rsid w:val="47DD19DA"/>
    <w:rsid w:val="48CD242C"/>
    <w:rsid w:val="496B0759"/>
    <w:rsid w:val="4A6B0188"/>
    <w:rsid w:val="4ABB1D38"/>
    <w:rsid w:val="4AE745DB"/>
    <w:rsid w:val="4C1D7892"/>
    <w:rsid w:val="4D5E548A"/>
    <w:rsid w:val="4E3917D8"/>
    <w:rsid w:val="4EB67BBA"/>
    <w:rsid w:val="4EF318AC"/>
    <w:rsid w:val="50225853"/>
    <w:rsid w:val="509F557D"/>
    <w:rsid w:val="50BA0A16"/>
    <w:rsid w:val="50D864D3"/>
    <w:rsid w:val="51086967"/>
    <w:rsid w:val="513F2C99"/>
    <w:rsid w:val="516E4782"/>
    <w:rsid w:val="523709F3"/>
    <w:rsid w:val="528F266F"/>
    <w:rsid w:val="52F952BE"/>
    <w:rsid w:val="53243C8C"/>
    <w:rsid w:val="534A24ED"/>
    <w:rsid w:val="53AF4999"/>
    <w:rsid w:val="548C30FC"/>
    <w:rsid w:val="55675746"/>
    <w:rsid w:val="556E394C"/>
    <w:rsid w:val="55797C08"/>
    <w:rsid w:val="562847D2"/>
    <w:rsid w:val="57534CE3"/>
    <w:rsid w:val="59660A1F"/>
    <w:rsid w:val="59F561A9"/>
    <w:rsid w:val="5A6F5206"/>
    <w:rsid w:val="5AE47268"/>
    <w:rsid w:val="5AF45086"/>
    <w:rsid w:val="5DAE5A52"/>
    <w:rsid w:val="5E0D0BDF"/>
    <w:rsid w:val="5F253730"/>
    <w:rsid w:val="5F5D78DC"/>
    <w:rsid w:val="5FC657A3"/>
    <w:rsid w:val="601F0EAE"/>
    <w:rsid w:val="602E7188"/>
    <w:rsid w:val="620675AB"/>
    <w:rsid w:val="622B13D1"/>
    <w:rsid w:val="62AC7955"/>
    <w:rsid w:val="62B73D4C"/>
    <w:rsid w:val="63490652"/>
    <w:rsid w:val="64A86918"/>
    <w:rsid w:val="64E33708"/>
    <w:rsid w:val="650E0CE2"/>
    <w:rsid w:val="65CD15D6"/>
    <w:rsid w:val="68F93880"/>
    <w:rsid w:val="6951565F"/>
    <w:rsid w:val="69552DD1"/>
    <w:rsid w:val="69CB6804"/>
    <w:rsid w:val="6BE256D4"/>
    <w:rsid w:val="6C15171F"/>
    <w:rsid w:val="6DED7B6E"/>
    <w:rsid w:val="6E083216"/>
    <w:rsid w:val="6E8A7348"/>
    <w:rsid w:val="6E9256FE"/>
    <w:rsid w:val="6EA70D04"/>
    <w:rsid w:val="6EC5277F"/>
    <w:rsid w:val="6F2B5042"/>
    <w:rsid w:val="6F5442C8"/>
    <w:rsid w:val="70ED3E4C"/>
    <w:rsid w:val="711A28E5"/>
    <w:rsid w:val="71482881"/>
    <w:rsid w:val="71D2493E"/>
    <w:rsid w:val="71DB227A"/>
    <w:rsid w:val="723122EE"/>
    <w:rsid w:val="72794FA7"/>
    <w:rsid w:val="730C2F2A"/>
    <w:rsid w:val="739B5F35"/>
    <w:rsid w:val="741A20CB"/>
    <w:rsid w:val="75762924"/>
    <w:rsid w:val="75F869D9"/>
    <w:rsid w:val="75FC38B9"/>
    <w:rsid w:val="76592B1C"/>
    <w:rsid w:val="768A5494"/>
    <w:rsid w:val="77854E73"/>
    <w:rsid w:val="797E31CB"/>
    <w:rsid w:val="7A277A18"/>
    <w:rsid w:val="7A9A1A11"/>
    <w:rsid w:val="7B095FB2"/>
    <w:rsid w:val="7B9157EC"/>
    <w:rsid w:val="7BB578CB"/>
    <w:rsid w:val="7C3D28A5"/>
    <w:rsid w:val="7C5B0643"/>
    <w:rsid w:val="7CA13F21"/>
    <w:rsid w:val="7DDF4CE6"/>
    <w:rsid w:val="7E071097"/>
    <w:rsid w:val="7E463F5C"/>
    <w:rsid w:val="7E611631"/>
    <w:rsid w:val="7E6B05F1"/>
    <w:rsid w:val="7E6B3D8A"/>
    <w:rsid w:val="7F396B86"/>
    <w:rsid w:val="7F666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style>
  <w:style w:type="paragraph" w:styleId="3">
    <w:name w:val="Body Text Indent"/>
    <w:basedOn w:val="1"/>
    <w:qFormat/>
    <w:uiPriority w:val="0"/>
    <w:pPr>
      <w:ind w:firstLine="600" w:firstLineChars="200"/>
    </w:pPr>
    <w:rPr>
      <w:rFonts w:eastAsia="仿宋_GB2312"/>
      <w:sz w:val="30"/>
      <w:szCs w:val="24"/>
    </w:rPr>
  </w:style>
  <w:style w:type="paragraph" w:styleId="4">
    <w:name w:val="Balloon Text"/>
    <w:basedOn w:val="1"/>
    <w:link w:val="13"/>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4"/>
    <w:qFormat/>
    <w:uiPriority w:val="0"/>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annotation reference"/>
    <w:qFormat/>
    <w:uiPriority w:val="0"/>
    <w:rPr>
      <w:sz w:val="21"/>
      <w:szCs w:val="21"/>
    </w:rPr>
  </w:style>
  <w:style w:type="character" w:customStyle="1" w:styleId="12">
    <w:name w:val="批注文字 Char"/>
    <w:link w:val="2"/>
    <w:qFormat/>
    <w:uiPriority w:val="99"/>
    <w:rPr>
      <w:kern w:val="2"/>
      <w:sz w:val="21"/>
      <w:szCs w:val="22"/>
    </w:rPr>
  </w:style>
  <w:style w:type="character" w:customStyle="1" w:styleId="13">
    <w:name w:val="批注框文本 Char"/>
    <w:link w:val="4"/>
    <w:qFormat/>
    <w:uiPriority w:val="0"/>
    <w:rPr>
      <w:kern w:val="2"/>
      <w:sz w:val="18"/>
      <w:szCs w:val="18"/>
    </w:rPr>
  </w:style>
  <w:style w:type="character" w:customStyle="1" w:styleId="14">
    <w:name w:val="批注主题 Char"/>
    <w:link w:val="7"/>
    <w:qFormat/>
    <w:uiPriority w:val="0"/>
  </w:style>
  <w:style w:type="character" w:customStyle="1" w:styleId="15">
    <w:name w:val="fontstyle01"/>
    <w:qFormat/>
    <w:uiPriority w:val="0"/>
    <w:rPr>
      <w:rFonts w:ascii="黑体" w:hAnsi="宋体" w:eastAsia="黑体" w:cs="黑体"/>
      <w:color w:val="000000"/>
      <w:sz w:val="32"/>
      <w:szCs w:val="32"/>
    </w:rPr>
  </w:style>
  <w:style w:type="paragraph" w:customStyle="1" w:styleId="16">
    <w:name w:val="修订1"/>
    <w:unhideWhenUsed/>
    <w:qFormat/>
    <w:uiPriority w:val="99"/>
    <w:rPr>
      <w:rFonts w:ascii="Times New Roman" w:hAnsi="Times New Roman" w:eastAsia="宋体" w:cs="Times New Roman"/>
      <w:kern w:val="2"/>
      <w:sz w:val="21"/>
      <w:szCs w:val="22"/>
      <w:lang w:val="en-US" w:eastAsia="zh-CN" w:bidi="ar-SA"/>
    </w:rPr>
  </w:style>
  <w:style w:type="paragraph" w:customStyle="1" w:styleId="17">
    <w:name w:val="列出段落1"/>
    <w:basedOn w:val="1"/>
    <w:qFormat/>
    <w:uiPriority w:val="34"/>
    <w:pPr>
      <w:ind w:firstLine="420" w:firstLineChars="200"/>
    </w:pPr>
  </w:style>
  <w:style w:type="paragraph" w:customStyle="1" w:styleId="18">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19">
    <w:name w:val="List Paragraph"/>
    <w:basedOn w:val="1"/>
    <w:qFormat/>
    <w:uiPriority w:val="99"/>
    <w:pPr>
      <w:ind w:firstLine="420" w:firstLineChars="200"/>
    </w:pPr>
  </w:style>
  <w:style w:type="paragraph" w:customStyle="1" w:styleId="20">
    <w:name w:val="修订2"/>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399</Words>
  <Characters>2276</Characters>
  <Lines>18</Lines>
  <Paragraphs>5</Paragraphs>
  <TotalTime>5</TotalTime>
  <ScaleCrop>false</ScaleCrop>
  <LinksUpToDate>false</LinksUpToDate>
  <CharactersWithSpaces>2670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2025-11-14T06:09:00Z</dcterms:created>
  <dc:creator>lenovo</dc:creator>
  <cp:lastModifiedBy>YWB</cp:lastModifiedBy>
  <cp:lastPrinted>2024-03-01T06:25:00Z</cp:lastPrinted>
  <dcterms:modified xsi:type="dcterms:W3CDTF">2026-04-21T03:45:43Z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EB7DE0498196438F828834263D1183A9</vt:lpwstr>
  </property>
  <property fmtid="{D5CDD505-2E9C-101B-9397-08002B2CF9AE}" pid="4" name="KSOTemplateDocerSaveRecord">
    <vt:lpwstr>eyJoZGlkIjoiYTI1ZmQzZjNkMWIyZWQ2NTg0MDA4YjEwNjdjNDIyYzUiLCJ1c2VySWQiOiIyNjY2MjkwNzMifQ==</vt:lpwstr>
  </property>
</Properties>
</file>