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hint="eastAsia" w:eastAsia="方正小标宋简体"/>
          <w:color w:val="auto"/>
          <w:sz w:val="44"/>
          <w:szCs w:val="44"/>
        </w:rPr>
      </w:pPr>
      <w:r>
        <w:rPr>
          <w:rFonts w:hint="eastAsia" w:eastAsia="方正小标宋简体"/>
          <w:color w:val="auto"/>
          <w:sz w:val="44"/>
          <w:szCs w:val="44"/>
        </w:rPr>
        <w:t>东莞市奶嘴产品质量监督抽查实施细则</w:t>
      </w:r>
    </w:p>
    <w:p>
      <w:pPr>
        <w:adjustRightInd w:val="0"/>
        <w:snapToGrid w:val="0"/>
        <w:spacing w:line="590" w:lineRule="exact"/>
        <w:jc w:val="center"/>
        <w:rPr>
          <w:rFonts w:hint="eastAsia" w:eastAsia="楷体_GB2312"/>
          <w:color w:val="auto"/>
          <w:sz w:val="32"/>
          <w:szCs w:val="32"/>
        </w:rPr>
      </w:pPr>
      <w:r>
        <w:rPr>
          <w:rFonts w:hint="eastAsia" w:eastAsia="楷体_GB2312"/>
          <w:color w:val="auto"/>
          <w:sz w:val="32"/>
          <w:szCs w:val="32"/>
        </w:rPr>
        <w:t>（202</w:t>
      </w:r>
      <w:r>
        <w:rPr>
          <w:rFonts w:hint="eastAsia" w:eastAsia="楷体_GB2312"/>
          <w:color w:val="auto"/>
          <w:sz w:val="32"/>
          <w:szCs w:val="32"/>
          <w:lang w:val="en-US" w:eastAsia="zh-CN"/>
        </w:rPr>
        <w:t>6</w:t>
      </w:r>
      <w:r>
        <w:rPr>
          <w:rFonts w:hint="eastAsia" w:eastAsia="楷体_GB2312"/>
          <w:color w:val="auto"/>
          <w:sz w:val="32"/>
          <w:szCs w:val="32"/>
        </w:rPr>
        <w:t>年版）</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1 抽样方法</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以随机抽样的方式在被抽样生产者、销售者的待销产品中抽取。</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随机数一般可使用随机数表等方法产生。</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每批次产品抽取样品30 只，其中25 只作为检验样品、5 只作为备用样品。若样品规格（质量）过小，需按采样数折算,抽样量总数不小于50 只，其中40 只作为检样、10 只作为备用样品。</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2 检验依据</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3162"/>
        <w:gridCol w:w="2533"/>
        <w:gridCol w:w="2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516" w:type="pct"/>
            <w:noWrap w:val="0"/>
            <w:vAlign w:val="center"/>
          </w:tcPr>
          <w:p>
            <w:pPr>
              <w:adjustRightInd w:val="0"/>
              <w:snapToGrid w:val="0"/>
              <w:spacing w:line="400" w:lineRule="exact"/>
              <w:jc w:val="center"/>
              <w:rPr>
                <w:rFonts w:eastAsia="黑体"/>
                <w:color w:val="auto"/>
                <w:sz w:val="24"/>
              </w:rPr>
            </w:pPr>
            <w:r>
              <w:rPr>
                <w:rFonts w:eastAsia="黑体"/>
                <w:color w:val="auto"/>
                <w:sz w:val="24"/>
              </w:rPr>
              <w:t>序号</w:t>
            </w:r>
          </w:p>
        </w:tc>
        <w:tc>
          <w:tcPr>
            <w:tcW w:w="1724" w:type="pct"/>
            <w:noWrap w:val="0"/>
            <w:vAlign w:val="center"/>
          </w:tcPr>
          <w:p>
            <w:pPr>
              <w:adjustRightInd w:val="0"/>
              <w:snapToGrid w:val="0"/>
              <w:spacing w:line="400" w:lineRule="exact"/>
              <w:jc w:val="center"/>
              <w:rPr>
                <w:rFonts w:eastAsia="黑体"/>
                <w:color w:val="auto"/>
                <w:sz w:val="24"/>
              </w:rPr>
            </w:pPr>
            <w:r>
              <w:rPr>
                <w:rFonts w:eastAsia="黑体"/>
                <w:color w:val="auto"/>
                <w:sz w:val="24"/>
              </w:rPr>
              <w:t>检验项目</w:t>
            </w:r>
          </w:p>
        </w:tc>
        <w:tc>
          <w:tcPr>
            <w:tcW w:w="1381" w:type="pct"/>
            <w:noWrap w:val="0"/>
            <w:vAlign w:val="center"/>
          </w:tcPr>
          <w:p>
            <w:pPr>
              <w:adjustRightInd w:val="0"/>
              <w:snapToGrid w:val="0"/>
              <w:spacing w:line="400" w:lineRule="exact"/>
              <w:jc w:val="center"/>
              <w:rPr>
                <w:rFonts w:eastAsia="黑体"/>
                <w:color w:val="auto"/>
                <w:sz w:val="24"/>
              </w:rPr>
            </w:pPr>
            <w:r>
              <w:rPr>
                <w:rFonts w:hint="eastAsia" w:eastAsia="黑体"/>
                <w:color w:val="auto"/>
                <w:sz w:val="24"/>
              </w:rPr>
              <w:t>检验</w:t>
            </w:r>
            <w:r>
              <w:rPr>
                <w:rFonts w:eastAsia="黑体"/>
                <w:color w:val="auto"/>
                <w:sz w:val="24"/>
              </w:rPr>
              <w:t>依据</w:t>
            </w:r>
          </w:p>
        </w:tc>
        <w:tc>
          <w:tcPr>
            <w:tcW w:w="1379" w:type="pct"/>
            <w:noWrap w:val="0"/>
            <w:vAlign w:val="center"/>
          </w:tcPr>
          <w:p>
            <w:pPr>
              <w:adjustRightInd w:val="0"/>
              <w:snapToGrid w:val="0"/>
              <w:spacing w:line="400" w:lineRule="exact"/>
              <w:jc w:val="center"/>
              <w:rPr>
                <w:rFonts w:eastAsia="黑体"/>
                <w:color w:val="auto"/>
                <w:sz w:val="24"/>
              </w:rPr>
            </w:pPr>
            <w:r>
              <w:rPr>
                <w:rFonts w:eastAsia="黑体"/>
                <w:color w:val="auto"/>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724"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感官要求</w:t>
            </w:r>
          </w:p>
        </w:tc>
        <w:tc>
          <w:tcPr>
            <w:tcW w:w="1381"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c>
          <w:tcPr>
            <w:tcW w:w="1379"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724" w:type="pct"/>
            <w:noWrap w:val="0"/>
            <w:vAlign w:val="center"/>
          </w:tcPr>
          <w:p>
            <w:pPr>
              <w:jc w:val="center"/>
              <w:rPr>
                <w:rFonts w:hint="eastAsia" w:ascii="仿宋_GB2312" w:hAnsi="仿宋_GB2312" w:eastAsia="仿宋_GB2312" w:cs="仿宋_GB2312"/>
                <w:b/>
                <w:color w:val="auto"/>
                <w:sz w:val="24"/>
              </w:rPr>
            </w:pPr>
            <w:r>
              <w:rPr>
                <w:rFonts w:hint="eastAsia" w:ascii="仿宋_GB2312" w:hAnsi="仿宋_GB2312" w:eastAsia="仿宋_GB2312" w:cs="仿宋_GB2312"/>
                <w:color w:val="auto"/>
                <w:sz w:val="24"/>
              </w:rPr>
              <w:t>总迁移量</w:t>
            </w:r>
          </w:p>
        </w:tc>
        <w:tc>
          <w:tcPr>
            <w:tcW w:w="1381"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c>
          <w:tcPr>
            <w:tcW w:w="1379"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1724"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高锰酸钾消耗量</w:t>
            </w:r>
          </w:p>
        </w:tc>
        <w:tc>
          <w:tcPr>
            <w:tcW w:w="1381"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c>
          <w:tcPr>
            <w:tcW w:w="1379"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1724"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重金属（以铅计）</w:t>
            </w:r>
          </w:p>
        </w:tc>
        <w:tc>
          <w:tcPr>
            <w:tcW w:w="1381"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c>
          <w:tcPr>
            <w:tcW w:w="1379"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1724"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锌(Zn)迁移量</w:t>
            </w:r>
          </w:p>
        </w:tc>
        <w:tc>
          <w:tcPr>
            <w:tcW w:w="1381"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c>
          <w:tcPr>
            <w:tcW w:w="1379"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31604.42—2016或</w:t>
            </w:r>
          </w:p>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1724" w:type="pct"/>
            <w:noWrap w:val="0"/>
            <w:vAlign w:val="center"/>
          </w:tcPr>
          <w:p>
            <w:pPr>
              <w:adjustRightInd w:val="0"/>
              <w:snapToGrid w:val="0"/>
              <w:jc w:val="center"/>
              <w:rPr>
                <w:rFonts w:hint="eastAsia" w:ascii="仿宋_GB2312" w:hAnsi="仿宋_GB2312" w:eastAsia="仿宋_GB2312" w:cs="仿宋_GB2312"/>
                <w:color w:val="auto"/>
                <w:sz w:val="24"/>
                <w:vertAlign w:val="superscript"/>
              </w:rPr>
            </w:pPr>
            <w:r>
              <w:rPr>
                <w:rFonts w:hint="eastAsia" w:ascii="仿宋_GB2312" w:hAnsi="仿宋_GB2312" w:eastAsia="仿宋_GB2312" w:cs="仿宋_GB2312"/>
                <w:color w:val="auto"/>
                <w:sz w:val="24"/>
              </w:rPr>
              <w:t>挥发性物质</w:t>
            </w:r>
            <w:r>
              <w:rPr>
                <w:rFonts w:hint="eastAsia" w:ascii="仿宋_GB2312" w:hAnsi="仿宋_GB2312" w:eastAsia="仿宋_GB2312" w:cs="仿宋_GB2312"/>
                <w:color w:val="auto"/>
                <w:sz w:val="24"/>
                <w:vertAlign w:val="superscript"/>
              </w:rPr>
              <w:t>a</w:t>
            </w:r>
          </w:p>
        </w:tc>
        <w:tc>
          <w:tcPr>
            <w:tcW w:w="1381"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c>
          <w:tcPr>
            <w:tcW w:w="1379"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28482—2012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1724"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2,6-二-叔丁基对甲苯酚迁移量</w:t>
            </w:r>
            <w:r>
              <w:rPr>
                <w:rFonts w:hint="eastAsia" w:ascii="仿宋_GB2312" w:hAnsi="仿宋_GB2312" w:eastAsia="仿宋_GB2312" w:cs="仿宋_GB2312"/>
                <w:color w:val="auto"/>
                <w:sz w:val="24"/>
                <w:vertAlign w:val="superscript"/>
              </w:rPr>
              <w:t>b</w:t>
            </w:r>
          </w:p>
        </w:tc>
        <w:tc>
          <w:tcPr>
            <w:tcW w:w="1381"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c>
          <w:tcPr>
            <w:tcW w:w="1379"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28482—2012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1724"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2,2'-亚甲基双-（4-甲基-6-叔丁基苯酚）迁移量</w:t>
            </w:r>
            <w:r>
              <w:rPr>
                <w:rFonts w:hint="eastAsia" w:ascii="仿宋_GB2312" w:hAnsi="仿宋_GB2312" w:eastAsia="仿宋_GB2312" w:cs="仿宋_GB2312"/>
                <w:color w:val="auto"/>
                <w:sz w:val="24"/>
                <w:vertAlign w:val="superscript"/>
              </w:rPr>
              <w:t>b</w:t>
            </w:r>
          </w:p>
        </w:tc>
        <w:tc>
          <w:tcPr>
            <w:tcW w:w="1381"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c>
          <w:tcPr>
            <w:tcW w:w="1379"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28482—2012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w:t>
            </w:r>
          </w:p>
        </w:tc>
        <w:tc>
          <w:tcPr>
            <w:tcW w:w="1724"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N-亚硝胺和N-亚硝胺可生成物释放量（人工唾液）</w:t>
            </w:r>
          </w:p>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（N-亚硝胺）</w:t>
            </w:r>
          </w:p>
        </w:tc>
        <w:tc>
          <w:tcPr>
            <w:tcW w:w="1381"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c>
          <w:tcPr>
            <w:tcW w:w="1379"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28482—2012</w:t>
            </w:r>
          </w:p>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24153—2009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w:t>
            </w:r>
          </w:p>
        </w:tc>
        <w:tc>
          <w:tcPr>
            <w:tcW w:w="1724"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N-亚硝胺和N-亚硝胺可生成物释放量（人工唾液）</w:t>
            </w:r>
          </w:p>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（N-亚硝胺可生成物）</w:t>
            </w:r>
          </w:p>
        </w:tc>
        <w:tc>
          <w:tcPr>
            <w:tcW w:w="1381"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4806.2—2015</w:t>
            </w:r>
          </w:p>
        </w:tc>
        <w:tc>
          <w:tcPr>
            <w:tcW w:w="1379"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28482—2012</w:t>
            </w:r>
          </w:p>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24153—2009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16" w:type="pct"/>
            <w:noWrap w:val="0"/>
            <w:vAlign w:val="center"/>
          </w:tcPr>
          <w:p>
            <w:pPr>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11</w:t>
            </w:r>
          </w:p>
        </w:tc>
        <w:tc>
          <w:tcPr>
            <w:tcW w:w="1724" w:type="pct"/>
            <w:noWrap w:val="0"/>
            <w:vAlign w:val="center"/>
          </w:tcPr>
          <w:p>
            <w:pPr>
              <w:adjustRightInd w:val="0"/>
              <w:snapToGrid w:val="0"/>
              <w:jc w:val="center"/>
              <w:rPr>
                <w:rFonts w:hint="eastAsia" w:ascii="仿宋_GB2312" w:hAnsi="仿宋_GB2312" w:eastAsia="仿宋_GB2312" w:cs="仿宋_GB2312"/>
                <w:color w:val="auto"/>
                <w:sz w:val="24"/>
                <w:vertAlign w:val="superscript"/>
              </w:rPr>
            </w:pPr>
            <w:r>
              <w:rPr>
                <w:rFonts w:hint="eastAsia" w:ascii="仿宋_GB2312" w:hAnsi="仿宋_GB2312" w:eastAsia="仿宋_GB2312" w:cs="仿宋_GB2312"/>
                <w:color w:val="auto"/>
                <w:sz w:val="24"/>
              </w:rPr>
              <w:t>邻苯类增塑剂迁移量</w:t>
            </w:r>
            <w:r>
              <w:rPr>
                <w:rFonts w:hint="eastAsia" w:ascii="仿宋_GB2312" w:hAnsi="仿宋_GB2312" w:eastAsia="仿宋_GB2312" w:cs="仿宋_GB2312"/>
                <w:color w:val="auto"/>
                <w:sz w:val="24"/>
                <w:vertAlign w:val="superscript"/>
              </w:rPr>
              <w:t>c</w:t>
            </w:r>
          </w:p>
        </w:tc>
        <w:tc>
          <w:tcPr>
            <w:tcW w:w="1381"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9685—2016</w:t>
            </w:r>
          </w:p>
        </w:tc>
        <w:tc>
          <w:tcPr>
            <w:tcW w:w="1379" w:type="pct"/>
            <w:noWrap w:val="0"/>
            <w:vAlign w:val="center"/>
          </w:tcPr>
          <w:p>
            <w:pPr>
              <w:adjustRightInd w:val="0"/>
              <w:snapToGrid w:val="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31604.30—2025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noWrap w:val="0"/>
            <w:vAlign w:val="center"/>
          </w:tcPr>
          <w:p>
            <w:pPr>
              <w:autoSpaceDE w:val="0"/>
              <w:autoSpaceDN w:val="0"/>
              <w:adjustRightInd w:val="0"/>
              <w:jc w:val="left"/>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注：a仅适用于硅橡胶奶嘴。</w:t>
            </w:r>
          </w:p>
          <w:p>
            <w:pPr>
              <w:adjustRightInd w:val="0"/>
              <w:snapToGrid w:val="0"/>
              <w:ind w:firstLine="480" w:firstLineChars="200"/>
              <w:jc w:val="left"/>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b仅适用于天然橡胶、顺式-1,4-聚异戊二烯橡胶奶嘴。</w:t>
            </w:r>
          </w:p>
          <w:p>
            <w:pPr>
              <w:adjustRightInd w:val="0"/>
              <w:snapToGrid w:val="0"/>
              <w:ind w:firstLine="480" w:firstLineChars="200"/>
              <w:jc w:val="left"/>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kern w:val="0"/>
                <w:sz w:val="24"/>
              </w:rPr>
              <w:t>c仅适用于橡胶材质</w:t>
            </w:r>
            <w:r>
              <w:rPr>
                <w:rFonts w:hint="eastAsia" w:ascii="仿宋_GB2312" w:hAnsi="仿宋_GB2312" w:eastAsia="仿宋_GB2312" w:cs="仿宋_GB2312"/>
                <w:color w:val="auto"/>
                <w:kern w:val="0"/>
                <w:sz w:val="24"/>
                <w:lang w:eastAsia="zh-CN"/>
              </w:rPr>
              <w:t>。</w:t>
            </w:r>
          </w:p>
        </w:tc>
      </w:tr>
    </w:tbl>
    <w:p>
      <w:pPr>
        <w:autoSpaceDE w:val="0"/>
        <w:autoSpaceDN w:val="0"/>
        <w:adjustRightInd w:val="0"/>
        <w:spacing w:line="590" w:lineRule="exact"/>
        <w:ind w:firstLine="640" w:firstLineChars="200"/>
        <w:rPr>
          <w:rFonts w:hint="eastAsia" w:eastAsia="仿宋_GB2312"/>
          <w:color w:val="auto"/>
          <w:sz w:val="32"/>
          <w:szCs w:val="32"/>
        </w:rPr>
      </w:pPr>
      <w:r>
        <w:rPr>
          <w:rFonts w:hint="eastAsia" w:eastAsia="仿宋_GB2312"/>
          <w:color w:val="auto"/>
          <w:sz w:val="32"/>
          <w:szCs w:val="32"/>
        </w:rPr>
        <w:t>执行企业标准、团体标准、地方标准的产品，检验项目参照上述内容执行。</w:t>
      </w:r>
    </w:p>
    <w:p>
      <w:pPr>
        <w:autoSpaceDE w:val="0"/>
        <w:autoSpaceDN w:val="0"/>
        <w:adjustRightInd w:val="0"/>
        <w:spacing w:line="590" w:lineRule="exact"/>
        <w:ind w:firstLine="640" w:firstLineChars="200"/>
        <w:rPr>
          <w:rFonts w:eastAsia="仿宋_GB2312"/>
          <w:color w:val="auto"/>
          <w:sz w:val="32"/>
          <w:szCs w:val="32"/>
        </w:rPr>
      </w:pPr>
      <w:r>
        <w:rPr>
          <w:rFonts w:hint="eastAsia" w:eastAsia="仿宋_GB2312"/>
          <w:color w:val="auto"/>
          <w:sz w:val="32"/>
          <w:szCs w:val="32"/>
        </w:rPr>
        <w:t>凡是注日期的文件，其随后所有的修改单（不包括勘误的内容）或修订版不适用于本细则。凡是不注日期的文件，其最新版本适用于本细则。</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3 判定规则</w:t>
      </w:r>
    </w:p>
    <w:p>
      <w:pPr>
        <w:adjustRightInd w:val="0"/>
        <w:snapToGrid w:val="0"/>
        <w:spacing w:line="590" w:lineRule="exact"/>
        <w:ind w:firstLine="640" w:firstLineChars="200"/>
        <w:rPr>
          <w:rFonts w:eastAsia="仿宋_GB2312"/>
          <w:color w:val="auto"/>
          <w:sz w:val="32"/>
          <w:szCs w:val="32"/>
        </w:rPr>
      </w:pPr>
      <w:r>
        <w:rPr>
          <w:rFonts w:hint="eastAsia" w:eastAsia="仿宋_GB2312"/>
          <w:color w:val="auto"/>
          <w:sz w:val="32"/>
          <w:szCs w:val="32"/>
        </w:rPr>
        <w:t>3.1依据标准</w:t>
      </w:r>
    </w:p>
    <w:p>
      <w:pPr>
        <w:spacing w:line="590" w:lineRule="exact"/>
        <w:ind w:firstLine="640" w:firstLineChars="200"/>
        <w:rPr>
          <w:rFonts w:hint="eastAsia" w:eastAsia="仿宋_GB2312"/>
          <w:color w:val="auto"/>
          <w:sz w:val="32"/>
          <w:szCs w:val="32"/>
          <w:lang w:bidi="ar"/>
        </w:rPr>
      </w:pPr>
      <w:r>
        <w:rPr>
          <w:rFonts w:hint="eastAsia" w:eastAsia="仿宋_GB2312"/>
          <w:color w:val="auto"/>
          <w:sz w:val="32"/>
          <w:szCs w:val="32"/>
          <w:lang w:bidi="ar"/>
        </w:rPr>
        <w:t>GB 4806.</w:t>
      </w:r>
      <w:r>
        <w:rPr>
          <w:rFonts w:eastAsia="仿宋_GB2312"/>
          <w:color w:val="auto"/>
          <w:sz w:val="32"/>
          <w:szCs w:val="32"/>
          <w:lang w:bidi="ar"/>
        </w:rPr>
        <w:t>2</w:t>
      </w:r>
      <w:r>
        <w:rPr>
          <w:rFonts w:hint="eastAsia" w:eastAsia="仿宋_GB2312"/>
          <w:color w:val="auto"/>
          <w:sz w:val="32"/>
          <w:szCs w:val="32"/>
          <w:lang w:bidi="ar"/>
        </w:rPr>
        <w:t>—201</w:t>
      </w:r>
      <w:r>
        <w:rPr>
          <w:rFonts w:eastAsia="仿宋_GB2312"/>
          <w:color w:val="auto"/>
          <w:sz w:val="32"/>
          <w:szCs w:val="32"/>
          <w:lang w:bidi="ar"/>
        </w:rPr>
        <w:t>5</w:t>
      </w:r>
      <w:r>
        <w:rPr>
          <w:rFonts w:hint="eastAsia" w:eastAsia="仿宋_GB2312"/>
          <w:color w:val="auto"/>
          <w:sz w:val="32"/>
          <w:szCs w:val="32"/>
          <w:lang w:bidi="ar"/>
        </w:rPr>
        <w:t xml:space="preserve"> 食品安全国家标准 奶嘴</w:t>
      </w:r>
    </w:p>
    <w:p>
      <w:pPr>
        <w:spacing w:line="590" w:lineRule="exact"/>
        <w:ind w:firstLine="640" w:firstLineChars="200"/>
        <w:rPr>
          <w:rFonts w:hint="eastAsia" w:eastAsia="仿宋_GB2312"/>
          <w:color w:val="auto"/>
          <w:sz w:val="32"/>
          <w:szCs w:val="32"/>
          <w:lang w:bidi="ar"/>
        </w:rPr>
      </w:pPr>
      <w:r>
        <w:rPr>
          <w:rFonts w:hint="eastAsia" w:eastAsia="仿宋_GB2312"/>
          <w:color w:val="auto"/>
          <w:sz w:val="32"/>
          <w:szCs w:val="32"/>
          <w:lang w:bidi="ar"/>
        </w:rPr>
        <w:t>GB 9685—2016 食品安全国家标准食品接触材料及制品用</w:t>
      </w:r>
    </w:p>
    <w:p>
      <w:pPr>
        <w:spacing w:line="590" w:lineRule="exact"/>
        <w:ind w:firstLine="640" w:firstLineChars="200"/>
        <w:rPr>
          <w:rFonts w:eastAsia="仿宋_GB2312"/>
          <w:color w:val="auto"/>
          <w:sz w:val="32"/>
          <w:szCs w:val="32"/>
          <w:lang w:bidi="ar"/>
        </w:rPr>
      </w:pPr>
      <w:r>
        <w:rPr>
          <w:rFonts w:hint="eastAsia" w:eastAsia="仿宋_GB2312"/>
          <w:color w:val="auto"/>
          <w:sz w:val="32"/>
          <w:szCs w:val="32"/>
          <w:lang w:bidi="ar"/>
        </w:rPr>
        <w:t>添加剂使用标准</w:t>
      </w:r>
    </w:p>
    <w:p>
      <w:pPr>
        <w:spacing w:line="590" w:lineRule="exact"/>
        <w:ind w:firstLine="640" w:firstLineChars="200"/>
        <w:rPr>
          <w:rFonts w:hint="eastAsia" w:eastAsia="仿宋_GB2312"/>
          <w:color w:val="auto"/>
          <w:sz w:val="32"/>
          <w:szCs w:val="32"/>
          <w:lang w:bidi="ar"/>
        </w:rPr>
      </w:pPr>
      <w:r>
        <w:rPr>
          <w:rFonts w:hint="eastAsia" w:eastAsia="仿宋_GB2312"/>
          <w:color w:val="auto"/>
          <w:sz w:val="32"/>
          <w:szCs w:val="32"/>
          <w:lang w:bidi="ar"/>
        </w:rPr>
        <w:t>现行有效的企业标准、团体标准、地方标准及产品明示质量要求</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3.2判定原则</w:t>
      </w:r>
    </w:p>
    <w:p>
      <w:pPr>
        <w:spacing w:line="590" w:lineRule="exact"/>
        <w:ind w:firstLine="640" w:firstLineChars="200"/>
        <w:rPr>
          <w:rFonts w:eastAsia="仿宋_GB2312"/>
          <w:color w:val="auto"/>
          <w:sz w:val="32"/>
          <w:szCs w:val="32"/>
        </w:rPr>
      </w:pPr>
      <w:r>
        <w:rPr>
          <w:rFonts w:hint="eastAsia" w:eastAsia="仿宋_GB2312"/>
          <w:color w:val="auto"/>
          <w:sz w:val="32"/>
          <w:szCs w:val="32"/>
        </w:rPr>
        <w:t>经检验，检验项目全部合格，判定为被抽查产品所检项目未发现不</w:t>
      </w:r>
      <w:r>
        <w:rPr>
          <w:rFonts w:eastAsia="仿宋_GB2312"/>
          <w:color w:val="auto"/>
          <w:sz w:val="32"/>
          <w:szCs w:val="32"/>
        </w:rPr>
        <w:t>合格</w:t>
      </w:r>
      <w:r>
        <w:rPr>
          <w:rFonts w:hint="eastAsia" w:eastAsia="仿宋_GB2312"/>
          <w:color w:val="auto"/>
          <w:sz w:val="32"/>
          <w:szCs w:val="32"/>
        </w:rPr>
        <w:t>；检验项目中任一项或一项以上不合格，判定为被抽查产品不合格。</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若被检产品明示的质量要求高于本细则中检验项目依据的标准要求时，应按被检产品明示的质量要求判定。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若被检产品明示的质量要求低于本细则中检验项目依据的强制性标准要求时，应按照强制性标准要求判定。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若被检产品明示的质量要求低于或包含本细则中检验项目依据的推荐性标准要求时，应以被检产品明示的质量要求判定。</w:t>
      </w:r>
    </w:p>
    <w:p>
      <w:pPr>
        <w:spacing w:line="590" w:lineRule="exact"/>
        <w:ind w:firstLine="640" w:firstLineChars="200"/>
        <w:rPr>
          <w:rFonts w:eastAsia="仿宋_GB2312"/>
          <w:color w:val="auto"/>
          <w:sz w:val="32"/>
          <w:szCs w:val="32"/>
        </w:rPr>
      </w:pPr>
      <w:r>
        <w:rPr>
          <w:rFonts w:hint="eastAsia" w:eastAsia="仿宋_GB2312"/>
          <w:color w:val="auto"/>
          <w:sz w:val="32"/>
          <w:szCs w:val="32"/>
        </w:rPr>
        <w:t>若被检产品明示的质量要求缺少本细则中检验项目依据的强制性标准要求时，应按照强制性标准要求判定。</w:t>
      </w:r>
    </w:p>
    <w:p>
      <w:pPr>
        <w:spacing w:line="590" w:lineRule="exact"/>
        <w:ind w:firstLine="640" w:firstLineChars="200"/>
        <w:rPr>
          <w:rFonts w:hint="eastAsia" w:eastAsia="仿宋_GB2312"/>
          <w:color w:val="auto"/>
          <w:sz w:val="32"/>
          <w:szCs w:val="32"/>
        </w:rPr>
      </w:pPr>
      <w:r>
        <w:rPr>
          <w:rFonts w:hint="eastAsia" w:eastAsia="仿宋_GB2312"/>
          <w:color w:val="auto"/>
          <w:sz w:val="32"/>
          <w:szCs w:val="32"/>
        </w:rPr>
        <w:t>若被检产品明示的质量要求缺少本细则中检验项目依据的推荐性标准要求时，该项目不参与</w:t>
      </w:r>
      <w:bookmarkStart w:id="0" w:name="_GoBack"/>
      <w:bookmarkEnd w:id="0"/>
      <w:r>
        <w:rPr>
          <w:rFonts w:hint="eastAsia" w:eastAsia="仿宋_GB2312"/>
          <w:color w:val="auto"/>
          <w:sz w:val="32"/>
          <w:szCs w:val="32"/>
        </w:rPr>
        <w:t>判定。</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7D30B6-2F04-4688-A68F-D6163560C1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3C2E857D-7A70-4D11-A506-F770BE8B256E}"/>
  </w:font>
  <w:font w:name="楷体_GB2312">
    <w:panose1 w:val="02010609030101010101"/>
    <w:charset w:val="86"/>
    <w:family w:val="modern"/>
    <w:pitch w:val="default"/>
    <w:sig w:usb0="00000001" w:usb1="080E0000" w:usb2="00000000" w:usb3="00000000" w:csb0="00040000" w:csb1="00000000"/>
    <w:embedRegular r:id="rId3" w:fontKey="{F951F535-EE06-4C13-B698-23398C26230D}"/>
  </w:font>
  <w:font w:name="仿宋_GB2312">
    <w:panose1 w:val="02010609030101010101"/>
    <w:charset w:val="86"/>
    <w:family w:val="modern"/>
    <w:pitch w:val="default"/>
    <w:sig w:usb0="00000001" w:usb1="080E0000" w:usb2="00000000" w:usb3="00000000" w:csb0="00040000" w:csb1="00000000"/>
    <w:embedRegular r:id="rId4" w:fontKey="{6593A4A0-5DAC-49EC-8898-19665BFFE8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mYzA2OGY0M2IwNTkyMjRhZThiNjMzZTU5N2I3NTMifQ=="/>
  </w:docVars>
  <w:rsids>
    <w:rsidRoot w:val="00172A27"/>
    <w:rsid w:val="00027BF3"/>
    <w:rsid w:val="00051A44"/>
    <w:rsid w:val="000652B9"/>
    <w:rsid w:val="00065BEE"/>
    <w:rsid w:val="00066385"/>
    <w:rsid w:val="00081CBD"/>
    <w:rsid w:val="0008538C"/>
    <w:rsid w:val="000976DE"/>
    <w:rsid w:val="000E33F4"/>
    <w:rsid w:val="000E64EC"/>
    <w:rsid w:val="00123D1C"/>
    <w:rsid w:val="001809DD"/>
    <w:rsid w:val="001A451A"/>
    <w:rsid w:val="002248FC"/>
    <w:rsid w:val="00232530"/>
    <w:rsid w:val="002420BA"/>
    <w:rsid w:val="00247E6D"/>
    <w:rsid w:val="00253624"/>
    <w:rsid w:val="00257D6A"/>
    <w:rsid w:val="00263755"/>
    <w:rsid w:val="002937A6"/>
    <w:rsid w:val="002A4B8F"/>
    <w:rsid w:val="002A4E85"/>
    <w:rsid w:val="002D7F8A"/>
    <w:rsid w:val="002E0D1D"/>
    <w:rsid w:val="002E3CBD"/>
    <w:rsid w:val="002F7DAD"/>
    <w:rsid w:val="0031196D"/>
    <w:rsid w:val="00314EA5"/>
    <w:rsid w:val="003203A3"/>
    <w:rsid w:val="00365CBE"/>
    <w:rsid w:val="003A14B6"/>
    <w:rsid w:val="003A7D30"/>
    <w:rsid w:val="003C388C"/>
    <w:rsid w:val="003D09A1"/>
    <w:rsid w:val="003E26DD"/>
    <w:rsid w:val="003E35FA"/>
    <w:rsid w:val="003E61BF"/>
    <w:rsid w:val="004104AC"/>
    <w:rsid w:val="00445E86"/>
    <w:rsid w:val="0045434D"/>
    <w:rsid w:val="00461D31"/>
    <w:rsid w:val="00474E04"/>
    <w:rsid w:val="004814EA"/>
    <w:rsid w:val="004C2AFF"/>
    <w:rsid w:val="004D0C5A"/>
    <w:rsid w:val="004D184C"/>
    <w:rsid w:val="004E1396"/>
    <w:rsid w:val="004E6C21"/>
    <w:rsid w:val="00563EBC"/>
    <w:rsid w:val="005864F2"/>
    <w:rsid w:val="0059130E"/>
    <w:rsid w:val="00594BCC"/>
    <w:rsid w:val="005C747C"/>
    <w:rsid w:val="005D7299"/>
    <w:rsid w:val="005E1217"/>
    <w:rsid w:val="00623D68"/>
    <w:rsid w:val="00655CE7"/>
    <w:rsid w:val="00691550"/>
    <w:rsid w:val="00695BED"/>
    <w:rsid w:val="006E1171"/>
    <w:rsid w:val="006F0971"/>
    <w:rsid w:val="00706A62"/>
    <w:rsid w:val="007115DE"/>
    <w:rsid w:val="0072334C"/>
    <w:rsid w:val="0077429B"/>
    <w:rsid w:val="00796514"/>
    <w:rsid w:val="007A4D3E"/>
    <w:rsid w:val="007B0410"/>
    <w:rsid w:val="008710D2"/>
    <w:rsid w:val="00895BEA"/>
    <w:rsid w:val="008A3497"/>
    <w:rsid w:val="008C6D9C"/>
    <w:rsid w:val="008D3875"/>
    <w:rsid w:val="00917A54"/>
    <w:rsid w:val="009B1924"/>
    <w:rsid w:val="00A05840"/>
    <w:rsid w:val="00A23D98"/>
    <w:rsid w:val="00A43553"/>
    <w:rsid w:val="00AA37C0"/>
    <w:rsid w:val="00AB0E18"/>
    <w:rsid w:val="00AC5391"/>
    <w:rsid w:val="00B23814"/>
    <w:rsid w:val="00B47D56"/>
    <w:rsid w:val="00B6023A"/>
    <w:rsid w:val="00B65F23"/>
    <w:rsid w:val="00BF2B8C"/>
    <w:rsid w:val="00C26074"/>
    <w:rsid w:val="00C316B1"/>
    <w:rsid w:val="00C83B0A"/>
    <w:rsid w:val="00CA747C"/>
    <w:rsid w:val="00CB336B"/>
    <w:rsid w:val="00CC2FAC"/>
    <w:rsid w:val="00CE1E0C"/>
    <w:rsid w:val="00CE277E"/>
    <w:rsid w:val="00D2205A"/>
    <w:rsid w:val="00D46665"/>
    <w:rsid w:val="00D56867"/>
    <w:rsid w:val="00D61FA9"/>
    <w:rsid w:val="00D84DE8"/>
    <w:rsid w:val="00D93CCA"/>
    <w:rsid w:val="00DA1EE9"/>
    <w:rsid w:val="00DC7A78"/>
    <w:rsid w:val="00E02A7F"/>
    <w:rsid w:val="00E07880"/>
    <w:rsid w:val="00E533E6"/>
    <w:rsid w:val="00E62F99"/>
    <w:rsid w:val="00E82621"/>
    <w:rsid w:val="00EB082C"/>
    <w:rsid w:val="00EF7E84"/>
    <w:rsid w:val="00F56BA1"/>
    <w:rsid w:val="00F67056"/>
    <w:rsid w:val="00F75265"/>
    <w:rsid w:val="00F77C9A"/>
    <w:rsid w:val="00F83756"/>
    <w:rsid w:val="00FB576C"/>
    <w:rsid w:val="00FD2AA6"/>
    <w:rsid w:val="00FE7E8A"/>
    <w:rsid w:val="00FF2A37"/>
    <w:rsid w:val="0A1E11A5"/>
    <w:rsid w:val="0EB75826"/>
    <w:rsid w:val="17ED768E"/>
    <w:rsid w:val="18CF7CA0"/>
    <w:rsid w:val="1A597193"/>
    <w:rsid w:val="20971CA1"/>
    <w:rsid w:val="21C20622"/>
    <w:rsid w:val="277A0467"/>
    <w:rsid w:val="28F80A3B"/>
    <w:rsid w:val="2FF04045"/>
    <w:rsid w:val="3DCB79C8"/>
    <w:rsid w:val="4062276D"/>
    <w:rsid w:val="407A3071"/>
    <w:rsid w:val="410B4EC8"/>
    <w:rsid w:val="424A2A1F"/>
    <w:rsid w:val="473F4209"/>
    <w:rsid w:val="49557320"/>
    <w:rsid w:val="4FC76963"/>
    <w:rsid w:val="4FD70D7A"/>
    <w:rsid w:val="503A32DC"/>
    <w:rsid w:val="565D688C"/>
    <w:rsid w:val="574C3C7D"/>
    <w:rsid w:val="5EC73467"/>
    <w:rsid w:val="63F53ED9"/>
    <w:rsid w:val="6E5974AE"/>
    <w:rsid w:val="7A1D0398"/>
    <w:rsid w:val="7C74086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Char"/>
    <w:link w:val="2"/>
    <w:semiHidden/>
    <w:qFormat/>
    <w:uiPriority w:val="99"/>
    <w:rPr>
      <w:kern w:val="2"/>
      <w:sz w:val="21"/>
      <w:szCs w:val="24"/>
    </w:rPr>
  </w:style>
  <w:style w:type="character" w:customStyle="1" w:styleId="12">
    <w:name w:val="批注框文本 Char"/>
    <w:link w:val="3"/>
    <w:semiHidden/>
    <w:qFormat/>
    <w:uiPriority w:val="99"/>
    <w:rPr>
      <w:kern w:val="2"/>
      <w:sz w:val="18"/>
      <w:szCs w:val="18"/>
    </w:rPr>
  </w:style>
  <w:style w:type="character" w:customStyle="1" w:styleId="13">
    <w:name w:val="页脚 Char"/>
    <w:link w:val="4"/>
    <w:qFormat/>
    <w:uiPriority w:val="99"/>
    <w:rPr>
      <w:kern w:val="2"/>
      <w:sz w:val="18"/>
      <w:szCs w:val="18"/>
    </w:rPr>
  </w:style>
  <w:style w:type="character" w:customStyle="1" w:styleId="14">
    <w:name w:val="页眉 Char"/>
    <w:link w:val="5"/>
    <w:semiHidden/>
    <w:qFormat/>
    <w:uiPriority w:val="99"/>
    <w:rPr>
      <w:kern w:val="2"/>
      <w:sz w:val="18"/>
      <w:szCs w:val="18"/>
    </w:rPr>
  </w:style>
  <w:style w:type="character" w:customStyle="1" w:styleId="15">
    <w:name w:val="批注主题 Char"/>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211</Words>
  <Characters>1204</Characters>
  <Lines>10</Lines>
  <Paragraphs>2</Paragraphs>
  <TotalTime>4</TotalTime>
  <ScaleCrop>false</ScaleCrop>
  <LinksUpToDate>false</LinksUpToDate>
  <CharactersWithSpaces>1413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2025-06-18T03:29:00Z</dcterms:created>
  <dc:creator>Legend User</dc:creator>
  <cp:lastModifiedBy>YWB</cp:lastModifiedBy>
  <cp:lastPrinted>2019-12-05T07:53:00Z</cp:lastPrinted>
  <dcterms:modified xsi:type="dcterms:W3CDTF">2026-04-07T03:34:00Z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commondata">
    <vt:lpwstr>eyJoZGlkIjoiNDRmZDlmMjdkNDI1NjEzMmI2Y2M4ZTAxODQ5YmJlMTYifQ==</vt:lpwstr>
  </property>
  <property fmtid="{D5CDD505-2E9C-101B-9397-08002B2CF9AE}" pid="4" name="ICV">
    <vt:lpwstr>01C16E7333FA45E0A11D33B3F95BC0CB</vt:lpwstr>
  </property>
  <property fmtid="{D5CDD505-2E9C-101B-9397-08002B2CF9AE}" pid="5" name="KSOTemplateDocerSaveRecord">
    <vt:lpwstr>eyJoZGlkIjoiYTI1ZmQzZjNkMWIyZWQ2NTg0MDA4YjEwNjdjNDIyYzUiLCJ1c2VySWQiOiIyNjY2MjkwNzMifQ==</vt:lpwstr>
  </property>
</Properties>
</file>