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0" w:lineRule="exact"/>
        <w:jc w:val="center"/>
        <w:rPr>
          <w:rFonts w:hint="eastAsia" w:ascii="Times New Roman" w:hAnsi="Times New Roman" w:eastAsia="方正小标宋简体"/>
          <w:color w:val="auto"/>
          <w:sz w:val="44"/>
          <w:szCs w:val="44"/>
        </w:rPr>
      </w:pPr>
      <w:r>
        <w:rPr>
          <w:rFonts w:hint="eastAsia" w:ascii="Times New Roman" w:hAnsi="Times New Roman" w:eastAsia="方正小标宋简体"/>
          <w:color w:val="auto"/>
          <w:sz w:val="44"/>
          <w:szCs w:val="44"/>
        </w:rPr>
        <w:t>东莞市橡胶材质食品相关产品</w:t>
      </w:r>
    </w:p>
    <w:p>
      <w:pPr>
        <w:adjustRightInd w:val="0"/>
        <w:snapToGrid w:val="0"/>
        <w:spacing w:line="590" w:lineRule="exact"/>
        <w:jc w:val="center"/>
        <w:rPr>
          <w:rFonts w:hint="eastAsia" w:ascii="Times New Roman" w:hAnsi="Times New Roman" w:eastAsia="方正小标宋简体"/>
          <w:color w:val="auto"/>
          <w:sz w:val="44"/>
          <w:szCs w:val="44"/>
        </w:rPr>
      </w:pPr>
      <w:r>
        <w:rPr>
          <w:rFonts w:hint="eastAsia" w:ascii="Times New Roman" w:hAnsi="Times New Roman" w:eastAsia="方正小标宋简体"/>
          <w:color w:val="auto"/>
          <w:sz w:val="44"/>
          <w:szCs w:val="44"/>
        </w:rPr>
        <w:t>质量监督抽查实施细则</w:t>
      </w:r>
    </w:p>
    <w:p>
      <w:pPr>
        <w:adjustRightInd w:val="0"/>
        <w:snapToGrid w:val="0"/>
        <w:spacing w:line="590" w:lineRule="exact"/>
        <w:jc w:val="center"/>
        <w:rPr>
          <w:rFonts w:ascii="Times New Roman" w:hAnsi="Times New Roman" w:eastAsia="楷体_GB2312"/>
          <w:color w:val="auto"/>
          <w:sz w:val="32"/>
          <w:szCs w:val="32"/>
        </w:rPr>
      </w:pPr>
      <w:r>
        <w:rPr>
          <w:rFonts w:ascii="Times New Roman" w:hAnsi="Times New Roman" w:eastAsia="楷体_GB2312"/>
          <w:color w:val="auto"/>
          <w:sz w:val="32"/>
          <w:szCs w:val="32"/>
        </w:rPr>
        <w:t>（202</w:t>
      </w:r>
      <w:r>
        <w:rPr>
          <w:rFonts w:hint="eastAsia" w:ascii="Times New Roman" w:hAnsi="Times New Roman" w:eastAsia="楷体_GB2312"/>
          <w:color w:val="auto"/>
          <w:sz w:val="32"/>
          <w:szCs w:val="32"/>
          <w:lang w:val="en-US" w:eastAsia="zh-CN"/>
        </w:rPr>
        <w:t>6</w:t>
      </w:r>
      <w:r>
        <w:rPr>
          <w:rFonts w:ascii="Times New Roman" w:hAnsi="Times New Roman" w:eastAsia="楷体_GB2312"/>
          <w:color w:val="auto"/>
          <w:sz w:val="32"/>
          <w:szCs w:val="32"/>
        </w:rPr>
        <w:t>年版）</w:t>
      </w:r>
    </w:p>
    <w:p>
      <w:pPr>
        <w:snapToGrid w:val="0"/>
        <w:spacing w:line="590" w:lineRule="exact"/>
        <w:ind w:firstLine="640" w:firstLineChars="200"/>
        <w:rPr>
          <w:rFonts w:hint="eastAsia" w:ascii="Times New Roman" w:hAnsi="Times New Roman" w:eastAsia="黑体"/>
          <w:color w:val="auto"/>
          <w:sz w:val="32"/>
          <w:szCs w:val="32"/>
        </w:rPr>
      </w:pPr>
      <w:r>
        <w:rPr>
          <w:rFonts w:hint="eastAsia" w:ascii="Times New Roman" w:hAnsi="Times New Roman" w:eastAsia="黑体"/>
          <w:color w:val="auto"/>
          <w:sz w:val="32"/>
          <w:szCs w:val="32"/>
        </w:rPr>
        <w:t>1 抽样方法</w:t>
      </w:r>
    </w:p>
    <w:p>
      <w:pPr>
        <w:adjustRightInd w:val="0"/>
        <w:snapToGrid w:val="0"/>
        <w:spacing w:line="590" w:lineRule="exact"/>
        <w:ind w:firstLine="640" w:firstLineChars="20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以随机抽样的方式在被抽样生产者、销售者的待销产品中抽取。</w:t>
      </w:r>
    </w:p>
    <w:p>
      <w:pPr>
        <w:adjustRightInd w:val="0"/>
        <w:snapToGrid w:val="0"/>
        <w:spacing w:line="590" w:lineRule="exact"/>
        <w:ind w:firstLine="640" w:firstLineChars="20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随机数一般可使用随机数表等方法产生。</w:t>
      </w:r>
    </w:p>
    <w:p>
      <w:pPr>
        <w:adjustRightInd w:val="0"/>
        <w:snapToGrid w:val="0"/>
        <w:spacing w:line="590" w:lineRule="exact"/>
        <w:ind w:firstLine="640" w:firstLineChars="20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每一抽检批次产品抽取样品数量见表1。</w:t>
      </w:r>
    </w:p>
    <w:p>
      <w:pPr>
        <w:spacing w:line="590" w:lineRule="exact"/>
        <w:jc w:val="center"/>
        <w:textAlignment w:val="center"/>
        <w:rPr>
          <w:rFonts w:hint="eastAsia" w:ascii="仿宋_GB2312" w:hAnsi="仿宋_GB2312" w:eastAsia="仿宋_GB2312"/>
          <w:color w:val="auto"/>
          <w:sz w:val="32"/>
          <w:szCs w:val="24"/>
        </w:rPr>
      </w:pPr>
      <w:r>
        <w:rPr>
          <w:rFonts w:hint="eastAsia" w:ascii="仿宋_GB2312" w:hAnsi="仿宋_GB2312" w:eastAsia="仿宋_GB2312"/>
          <w:color w:val="auto"/>
          <w:sz w:val="32"/>
          <w:szCs w:val="24"/>
        </w:rPr>
        <w:t>表1 抽样数量</w:t>
      </w:r>
    </w:p>
    <w:tbl>
      <w:tblPr>
        <w:tblStyle w:val="11"/>
        <w:tblW w:w="91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8"/>
        <w:gridCol w:w="2268"/>
        <w:gridCol w:w="2693"/>
        <w:gridCol w:w="2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678" w:type="dxa"/>
            <w:noWrap w:val="0"/>
            <w:vAlign w:val="center"/>
          </w:tcPr>
          <w:p>
            <w:pPr>
              <w:adjustRightInd w:val="0"/>
              <w:snapToGrid w:val="0"/>
              <w:spacing w:line="400" w:lineRule="exact"/>
              <w:jc w:val="center"/>
              <w:rPr>
                <w:rFonts w:ascii="Times New Roman" w:hAnsi="Times New Roman" w:eastAsia="黑体"/>
                <w:color w:val="auto"/>
                <w:sz w:val="24"/>
                <w:szCs w:val="24"/>
              </w:rPr>
            </w:pPr>
            <w:r>
              <w:rPr>
                <w:rFonts w:ascii="Times New Roman" w:hAnsi="Times New Roman" w:eastAsia="黑体"/>
                <w:color w:val="auto"/>
                <w:sz w:val="24"/>
                <w:szCs w:val="24"/>
              </w:rPr>
              <w:t>产品类型</w:t>
            </w:r>
          </w:p>
        </w:tc>
        <w:tc>
          <w:tcPr>
            <w:tcW w:w="2268" w:type="dxa"/>
            <w:noWrap w:val="0"/>
            <w:vAlign w:val="center"/>
          </w:tcPr>
          <w:p>
            <w:pPr>
              <w:adjustRightInd w:val="0"/>
              <w:snapToGrid w:val="0"/>
              <w:spacing w:line="400" w:lineRule="exact"/>
              <w:jc w:val="center"/>
              <w:rPr>
                <w:rFonts w:ascii="Times New Roman" w:hAnsi="Times New Roman" w:eastAsia="黑体"/>
                <w:color w:val="auto"/>
                <w:sz w:val="24"/>
                <w:szCs w:val="24"/>
              </w:rPr>
            </w:pPr>
            <w:r>
              <w:rPr>
                <w:rFonts w:ascii="Times New Roman" w:hAnsi="Times New Roman" w:eastAsia="黑体"/>
                <w:color w:val="auto"/>
                <w:sz w:val="24"/>
                <w:szCs w:val="24"/>
              </w:rPr>
              <w:t>抽样数量</w:t>
            </w:r>
            <w:r>
              <w:rPr>
                <w:rFonts w:hint="eastAsia" w:ascii="Times New Roman" w:hAnsi="Times New Roman" w:eastAsia="黑体"/>
                <w:color w:val="auto"/>
                <w:sz w:val="24"/>
                <w:szCs w:val="24"/>
              </w:rPr>
              <w:t>（个/只）</w:t>
            </w:r>
          </w:p>
        </w:tc>
        <w:tc>
          <w:tcPr>
            <w:tcW w:w="2693" w:type="dxa"/>
            <w:noWrap w:val="0"/>
            <w:vAlign w:val="center"/>
          </w:tcPr>
          <w:p>
            <w:pPr>
              <w:adjustRightInd w:val="0"/>
              <w:snapToGrid w:val="0"/>
              <w:spacing w:line="400" w:lineRule="exact"/>
              <w:jc w:val="center"/>
              <w:rPr>
                <w:rFonts w:ascii="Times New Roman" w:hAnsi="Times New Roman" w:eastAsia="黑体"/>
                <w:color w:val="auto"/>
                <w:sz w:val="24"/>
                <w:szCs w:val="24"/>
              </w:rPr>
            </w:pPr>
            <w:r>
              <w:rPr>
                <w:rFonts w:ascii="Times New Roman" w:hAnsi="Times New Roman" w:eastAsia="黑体"/>
                <w:color w:val="auto"/>
                <w:sz w:val="24"/>
                <w:szCs w:val="24"/>
              </w:rPr>
              <w:t>检验用样品数量</w:t>
            </w:r>
            <w:r>
              <w:rPr>
                <w:rFonts w:hint="eastAsia" w:ascii="Times New Roman" w:hAnsi="Times New Roman" w:eastAsia="黑体"/>
                <w:color w:val="auto"/>
                <w:sz w:val="24"/>
                <w:szCs w:val="24"/>
              </w:rPr>
              <w:t>（个/只）</w:t>
            </w:r>
          </w:p>
        </w:tc>
        <w:tc>
          <w:tcPr>
            <w:tcW w:w="2554" w:type="dxa"/>
            <w:noWrap w:val="0"/>
            <w:vAlign w:val="center"/>
          </w:tcPr>
          <w:p>
            <w:pPr>
              <w:adjustRightInd w:val="0"/>
              <w:snapToGrid w:val="0"/>
              <w:spacing w:line="400" w:lineRule="exact"/>
              <w:jc w:val="center"/>
              <w:rPr>
                <w:rFonts w:ascii="Times New Roman" w:hAnsi="Times New Roman" w:eastAsia="黑体"/>
                <w:color w:val="auto"/>
                <w:sz w:val="24"/>
                <w:szCs w:val="24"/>
              </w:rPr>
            </w:pPr>
            <w:r>
              <w:rPr>
                <w:rFonts w:ascii="Times New Roman" w:hAnsi="Times New Roman" w:eastAsia="黑体"/>
                <w:color w:val="auto"/>
                <w:sz w:val="24"/>
                <w:szCs w:val="24"/>
              </w:rPr>
              <w:t>备份样品数量</w:t>
            </w:r>
            <w:r>
              <w:rPr>
                <w:rFonts w:hint="eastAsia" w:ascii="Times New Roman" w:hAnsi="Times New Roman" w:eastAsia="黑体"/>
                <w:color w:val="auto"/>
                <w:sz w:val="24"/>
                <w:szCs w:val="24"/>
              </w:rPr>
              <w:t>（个/只）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678" w:type="dxa"/>
            <w:noWrap w:val="0"/>
            <w:vAlign w:val="center"/>
          </w:tcPr>
          <w:p>
            <w:pPr>
              <w:snapToGrid w:val="0"/>
              <w:spacing w:line="44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碗、盘、杯、瓶等</w:t>
            </w:r>
          </w:p>
        </w:tc>
        <w:tc>
          <w:tcPr>
            <w:tcW w:w="2268" w:type="dxa"/>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12</w:t>
            </w:r>
          </w:p>
        </w:tc>
        <w:tc>
          <w:tcPr>
            <w:tcW w:w="2693" w:type="dxa"/>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10</w:t>
            </w:r>
          </w:p>
        </w:tc>
        <w:tc>
          <w:tcPr>
            <w:tcW w:w="2554" w:type="dxa"/>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678" w:type="dxa"/>
            <w:noWrap w:val="0"/>
            <w:vAlign w:val="center"/>
          </w:tcPr>
          <w:p>
            <w:pPr>
              <w:snapToGrid w:val="0"/>
              <w:spacing w:line="44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勺、叉等</w:t>
            </w:r>
          </w:p>
        </w:tc>
        <w:tc>
          <w:tcPr>
            <w:tcW w:w="2268" w:type="dxa"/>
            <w:noWrap w:val="0"/>
            <w:vAlign w:val="center"/>
          </w:tcPr>
          <w:p>
            <w:pPr>
              <w:snapToGrid w:val="0"/>
              <w:spacing w:line="44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25</w:t>
            </w:r>
          </w:p>
        </w:tc>
        <w:tc>
          <w:tcPr>
            <w:tcW w:w="2693" w:type="dxa"/>
            <w:noWrap w:val="0"/>
            <w:vAlign w:val="center"/>
          </w:tcPr>
          <w:p>
            <w:pPr>
              <w:snapToGrid w:val="0"/>
              <w:spacing w:line="44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20</w:t>
            </w:r>
          </w:p>
        </w:tc>
        <w:tc>
          <w:tcPr>
            <w:tcW w:w="2554" w:type="dxa"/>
            <w:noWrap w:val="0"/>
            <w:vAlign w:val="center"/>
          </w:tcPr>
          <w:p>
            <w:pPr>
              <w:snapToGrid w:val="0"/>
              <w:spacing w:line="44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678" w:type="dxa"/>
            <w:noWrap w:val="0"/>
            <w:vAlign w:val="center"/>
          </w:tcPr>
          <w:p>
            <w:pPr>
              <w:snapToGrid w:val="0"/>
              <w:spacing w:line="44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密封圈</w:t>
            </w:r>
          </w:p>
        </w:tc>
        <w:tc>
          <w:tcPr>
            <w:tcW w:w="2268" w:type="dxa"/>
            <w:noWrap w:val="0"/>
            <w:vAlign w:val="center"/>
          </w:tcPr>
          <w:p>
            <w:pPr>
              <w:snapToGrid w:val="0"/>
              <w:spacing w:line="44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w:t>
            </w:r>
          </w:p>
        </w:tc>
        <w:tc>
          <w:tcPr>
            <w:tcW w:w="2693" w:type="dxa"/>
            <w:noWrap w:val="0"/>
            <w:vAlign w:val="center"/>
          </w:tcPr>
          <w:p>
            <w:pPr>
              <w:snapToGrid w:val="0"/>
              <w:spacing w:line="44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w:t>
            </w:r>
          </w:p>
        </w:tc>
        <w:tc>
          <w:tcPr>
            <w:tcW w:w="2554" w:type="dxa"/>
            <w:noWrap w:val="0"/>
            <w:vAlign w:val="center"/>
          </w:tcPr>
          <w:p>
            <w:pPr>
              <w:snapToGrid w:val="0"/>
              <w:spacing w:line="44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9193" w:type="dxa"/>
            <w:gridSpan w:val="4"/>
            <w:noWrap w:val="0"/>
            <w:vAlign w:val="center"/>
          </w:tcPr>
          <w:p>
            <w:pPr>
              <w:snapToGrid w:val="0"/>
              <w:spacing w:line="440" w:lineRule="exac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注：</w:t>
            </w:r>
          </w:p>
          <w:p>
            <w:pPr>
              <w:snapToGrid w:val="0"/>
              <w:spacing w:line="440" w:lineRule="exac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（1）抽样数量可根据单个样品面积大小进行调整，在满足抽样数量的情况下，可适当增加或减少抽样数量。</w:t>
            </w:r>
          </w:p>
          <w:p>
            <w:pPr>
              <w:snapToGrid w:val="0"/>
              <w:spacing w:line="440" w:lineRule="exac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（2）抽样时应注明产品类型、材质等信息。</w:t>
            </w:r>
          </w:p>
          <w:p>
            <w:pPr>
              <w:snapToGrid w:val="0"/>
              <w:spacing w:line="440" w:lineRule="exact"/>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lang w:val="en-US" w:eastAsia="zh-CN"/>
              </w:rPr>
              <w:t>3</w:t>
            </w:r>
            <w:r>
              <w:rPr>
                <w:rFonts w:hint="eastAsia" w:ascii="仿宋_GB2312" w:hAnsi="仿宋_GB2312" w:eastAsia="仿宋_GB2312" w:cs="仿宋_GB2312"/>
                <w:color w:val="auto"/>
                <w:sz w:val="24"/>
                <w:szCs w:val="24"/>
                <w:lang w:eastAsia="zh-CN"/>
              </w:rPr>
              <w:t>）样品为硅橡胶材质，且执行</w:t>
            </w:r>
            <w:r>
              <w:rPr>
                <w:rFonts w:hint="eastAsia" w:ascii="仿宋_GB2312" w:hAnsi="仿宋_GB2312" w:eastAsia="仿宋_GB2312" w:cs="仿宋_GB2312"/>
                <w:color w:val="auto"/>
                <w:sz w:val="24"/>
                <w:szCs w:val="24"/>
                <w:lang w:val="en-US" w:eastAsia="zh-CN"/>
              </w:rPr>
              <w:t>GB 4806.16-2025标准时，检验用量及备份用量在上表的基础上至少需各增加45g样品。</w:t>
            </w:r>
          </w:p>
        </w:tc>
      </w:tr>
    </w:tbl>
    <w:p>
      <w:pPr>
        <w:snapToGrid w:val="0"/>
        <w:spacing w:line="590" w:lineRule="exact"/>
        <w:ind w:firstLine="640" w:firstLineChars="200"/>
        <w:rPr>
          <w:rFonts w:hint="eastAsia" w:ascii="Times New Roman" w:hAnsi="Times New Roman" w:eastAsia="黑体"/>
          <w:color w:val="auto"/>
          <w:sz w:val="32"/>
          <w:szCs w:val="32"/>
        </w:rPr>
      </w:pPr>
      <w:r>
        <w:rPr>
          <w:rFonts w:hint="eastAsia" w:ascii="Times New Roman" w:hAnsi="Times New Roman" w:eastAsia="黑体"/>
          <w:color w:val="auto"/>
          <w:sz w:val="32"/>
          <w:szCs w:val="32"/>
        </w:rPr>
        <w:t>2 检验依据</w:t>
      </w:r>
    </w:p>
    <w:p>
      <w:pPr>
        <w:spacing w:line="590" w:lineRule="exact"/>
        <w:jc w:val="center"/>
        <w:textAlignment w:val="center"/>
        <w:rPr>
          <w:rFonts w:hint="eastAsia" w:ascii="仿宋_GB2312" w:hAnsi="仿宋_GB2312" w:eastAsia="仿宋_GB2312"/>
          <w:color w:val="auto"/>
          <w:sz w:val="32"/>
          <w:szCs w:val="24"/>
        </w:rPr>
      </w:pPr>
      <w:r>
        <w:rPr>
          <w:rFonts w:hint="eastAsia" w:ascii="仿宋_GB2312" w:hAnsi="仿宋_GB2312" w:eastAsia="仿宋_GB2312"/>
          <w:color w:val="auto"/>
          <w:sz w:val="32"/>
          <w:szCs w:val="24"/>
        </w:rPr>
        <w:t>表2  橡胶材质食品相关产品检验项目</w:t>
      </w:r>
    </w:p>
    <w:tbl>
      <w:tblPr>
        <w:tblStyle w:val="11"/>
        <w:tblW w:w="93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2414"/>
        <w:gridCol w:w="2876"/>
        <w:gridCol w:w="3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blHeader/>
          <w:jc w:val="center"/>
        </w:trPr>
        <w:tc>
          <w:tcPr>
            <w:tcW w:w="898" w:type="dxa"/>
            <w:noWrap w:val="0"/>
            <w:vAlign w:val="center"/>
          </w:tcPr>
          <w:p>
            <w:pPr>
              <w:adjustRightInd w:val="0"/>
              <w:snapToGrid w:val="0"/>
              <w:spacing w:line="400" w:lineRule="exact"/>
              <w:jc w:val="center"/>
              <w:rPr>
                <w:rFonts w:hint="eastAsia" w:ascii="Times New Roman" w:hAnsi="Times New Roman" w:eastAsia="黑体"/>
                <w:color w:val="auto"/>
                <w:sz w:val="24"/>
                <w:szCs w:val="24"/>
              </w:rPr>
            </w:pPr>
            <w:bookmarkStart w:id="3" w:name="_GoBack"/>
            <w:r>
              <w:rPr>
                <w:rFonts w:hint="eastAsia" w:ascii="Times New Roman" w:hAnsi="Times New Roman" w:eastAsia="黑体"/>
                <w:color w:val="auto"/>
                <w:sz w:val="24"/>
                <w:szCs w:val="24"/>
              </w:rPr>
              <w:t>序号</w:t>
            </w:r>
          </w:p>
        </w:tc>
        <w:tc>
          <w:tcPr>
            <w:tcW w:w="2414" w:type="dxa"/>
            <w:noWrap w:val="0"/>
            <w:vAlign w:val="center"/>
          </w:tcPr>
          <w:p>
            <w:pPr>
              <w:adjustRightInd w:val="0"/>
              <w:snapToGrid w:val="0"/>
              <w:spacing w:line="400" w:lineRule="exact"/>
              <w:jc w:val="center"/>
              <w:rPr>
                <w:rFonts w:hint="eastAsia" w:ascii="Times New Roman" w:hAnsi="Times New Roman" w:eastAsia="黑体"/>
                <w:color w:val="auto"/>
                <w:sz w:val="24"/>
                <w:szCs w:val="24"/>
              </w:rPr>
            </w:pPr>
            <w:r>
              <w:rPr>
                <w:rFonts w:hint="eastAsia" w:ascii="Times New Roman" w:hAnsi="Times New Roman" w:eastAsia="黑体"/>
                <w:color w:val="auto"/>
                <w:sz w:val="24"/>
                <w:szCs w:val="24"/>
              </w:rPr>
              <w:t>检验项目</w:t>
            </w:r>
          </w:p>
        </w:tc>
        <w:tc>
          <w:tcPr>
            <w:tcW w:w="2876" w:type="dxa"/>
            <w:noWrap w:val="0"/>
            <w:vAlign w:val="center"/>
          </w:tcPr>
          <w:p>
            <w:pPr>
              <w:adjustRightInd w:val="0"/>
              <w:snapToGrid w:val="0"/>
              <w:spacing w:line="400" w:lineRule="exact"/>
              <w:jc w:val="center"/>
              <w:rPr>
                <w:rFonts w:hint="eastAsia" w:ascii="Times New Roman" w:hAnsi="Times New Roman" w:eastAsia="黑体"/>
                <w:color w:val="auto"/>
                <w:sz w:val="24"/>
                <w:szCs w:val="24"/>
              </w:rPr>
            </w:pPr>
            <w:r>
              <w:rPr>
                <w:rFonts w:hint="eastAsia" w:ascii="Times New Roman" w:hAnsi="Times New Roman" w:eastAsia="黑体"/>
                <w:color w:val="auto"/>
                <w:sz w:val="24"/>
                <w:szCs w:val="24"/>
              </w:rPr>
              <w:t>检验依据</w:t>
            </w:r>
          </w:p>
        </w:tc>
        <w:tc>
          <w:tcPr>
            <w:tcW w:w="3156" w:type="dxa"/>
            <w:noWrap w:val="0"/>
            <w:vAlign w:val="center"/>
          </w:tcPr>
          <w:p>
            <w:pPr>
              <w:adjustRightInd w:val="0"/>
              <w:snapToGrid w:val="0"/>
              <w:spacing w:line="400" w:lineRule="exact"/>
              <w:jc w:val="center"/>
              <w:rPr>
                <w:rFonts w:hint="eastAsia" w:ascii="Times New Roman" w:hAnsi="Times New Roman" w:eastAsia="黑体"/>
                <w:color w:val="auto"/>
                <w:sz w:val="24"/>
                <w:szCs w:val="24"/>
              </w:rPr>
            </w:pPr>
            <w:r>
              <w:rPr>
                <w:rFonts w:hint="eastAsia" w:ascii="Times New Roman" w:hAnsi="Times New Roman" w:eastAsia="黑体"/>
                <w:color w:val="auto"/>
                <w:sz w:val="24"/>
                <w:szCs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jc w:val="center"/>
        </w:trPr>
        <w:tc>
          <w:tcPr>
            <w:tcW w:w="898"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p>
        </w:tc>
        <w:tc>
          <w:tcPr>
            <w:tcW w:w="2414"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感官要求</w:t>
            </w:r>
          </w:p>
        </w:tc>
        <w:tc>
          <w:tcPr>
            <w:tcW w:w="2876"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4806.11—2016</w:t>
            </w:r>
          </w:p>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4806.11</w:t>
            </w:r>
            <w:bookmarkStart w:id="0" w:name="OLE_LINK1"/>
            <w:r>
              <w:rPr>
                <w:rFonts w:hint="eastAsia" w:ascii="仿宋_GB2312" w:hAnsi="仿宋_GB2312" w:eastAsia="仿宋_GB2312" w:cs="仿宋_GB2312"/>
                <w:color w:val="auto"/>
                <w:sz w:val="24"/>
                <w:szCs w:val="24"/>
              </w:rPr>
              <w:t>—</w:t>
            </w:r>
            <w:bookmarkEnd w:id="0"/>
            <w:r>
              <w:rPr>
                <w:rFonts w:hint="eastAsia" w:ascii="仿宋_GB2312" w:hAnsi="仿宋_GB2312" w:eastAsia="仿宋_GB2312" w:cs="仿宋_GB2312"/>
                <w:color w:val="auto"/>
                <w:sz w:val="24"/>
                <w:szCs w:val="24"/>
              </w:rPr>
              <w:t>2023</w:t>
            </w:r>
          </w:p>
          <w:p>
            <w:pPr>
              <w:snapToGrid w:val="0"/>
              <w:jc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GB 4806.16</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val="en-US" w:eastAsia="zh-CN"/>
              </w:rPr>
              <w:t>2025</w:t>
            </w:r>
          </w:p>
        </w:tc>
        <w:tc>
          <w:tcPr>
            <w:tcW w:w="3156"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4806.11—2016</w:t>
            </w:r>
          </w:p>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4806.11—2023</w:t>
            </w:r>
          </w:p>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GB 4806.16</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val="en-US" w:eastAsia="zh-CN"/>
              </w:rPr>
              <w:t>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6" w:hRule="atLeast"/>
          <w:jc w:val="center"/>
        </w:trPr>
        <w:tc>
          <w:tcPr>
            <w:tcW w:w="898"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p>
        </w:tc>
        <w:tc>
          <w:tcPr>
            <w:tcW w:w="2414"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总迁移量</w:t>
            </w:r>
          </w:p>
        </w:tc>
        <w:tc>
          <w:tcPr>
            <w:tcW w:w="2876"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4806.11—2016</w:t>
            </w:r>
          </w:p>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4806.11—2023</w:t>
            </w:r>
          </w:p>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GB 4806.16</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val="en-US" w:eastAsia="zh-CN"/>
              </w:rPr>
              <w:t>2025</w:t>
            </w:r>
          </w:p>
        </w:tc>
        <w:tc>
          <w:tcPr>
            <w:tcW w:w="3156"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4" w:hRule="atLeast"/>
          <w:jc w:val="center"/>
        </w:trPr>
        <w:tc>
          <w:tcPr>
            <w:tcW w:w="898"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w:t>
            </w:r>
          </w:p>
        </w:tc>
        <w:tc>
          <w:tcPr>
            <w:tcW w:w="2414"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高锰酸钾消耗量</w:t>
            </w:r>
          </w:p>
        </w:tc>
        <w:tc>
          <w:tcPr>
            <w:tcW w:w="2876"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4806.11—2016</w:t>
            </w:r>
          </w:p>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4806.11—2023</w:t>
            </w:r>
          </w:p>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GB 4806.16</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val="en-US" w:eastAsia="zh-CN"/>
              </w:rPr>
              <w:t>2025</w:t>
            </w:r>
          </w:p>
        </w:tc>
        <w:tc>
          <w:tcPr>
            <w:tcW w:w="3156"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1" w:hRule="atLeast"/>
          <w:jc w:val="center"/>
        </w:trPr>
        <w:tc>
          <w:tcPr>
            <w:tcW w:w="898"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4</w:t>
            </w:r>
          </w:p>
        </w:tc>
        <w:tc>
          <w:tcPr>
            <w:tcW w:w="2414"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重金属（以Pb计）</w:t>
            </w:r>
          </w:p>
        </w:tc>
        <w:tc>
          <w:tcPr>
            <w:tcW w:w="2876"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4806.11—2016</w:t>
            </w:r>
          </w:p>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4806.11—2023</w:t>
            </w:r>
          </w:p>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GB 4806.16</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val="en-US" w:eastAsia="zh-CN"/>
              </w:rPr>
              <w:t>2025</w:t>
            </w:r>
          </w:p>
        </w:tc>
        <w:tc>
          <w:tcPr>
            <w:tcW w:w="3156"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898"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w:t>
            </w:r>
          </w:p>
        </w:tc>
        <w:tc>
          <w:tcPr>
            <w:tcW w:w="2414"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芳香族伯胺迁移总量</w:t>
            </w:r>
          </w:p>
        </w:tc>
        <w:tc>
          <w:tcPr>
            <w:tcW w:w="2876"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4806.11—2023</w:t>
            </w:r>
          </w:p>
        </w:tc>
        <w:tc>
          <w:tcPr>
            <w:tcW w:w="3156"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31604.52-2021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898"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6</w:t>
            </w:r>
          </w:p>
        </w:tc>
        <w:tc>
          <w:tcPr>
            <w:tcW w:w="2414"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N-亚硝胺和N-亚硝胺可生成物迁移总量</w:t>
            </w:r>
          </w:p>
        </w:tc>
        <w:tc>
          <w:tcPr>
            <w:tcW w:w="2876"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4806.11—2023</w:t>
            </w:r>
          </w:p>
        </w:tc>
        <w:tc>
          <w:tcPr>
            <w:tcW w:w="3156"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GB/T 24153—2009</w:t>
            </w:r>
          </w:p>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31604.62—2025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898" w:type="dxa"/>
            <w:noWrap w:val="0"/>
            <w:vAlign w:val="center"/>
          </w:tcPr>
          <w:p>
            <w:pPr>
              <w:snapToGrid w:val="0"/>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7</w:t>
            </w:r>
          </w:p>
        </w:tc>
        <w:tc>
          <w:tcPr>
            <w:tcW w:w="2414" w:type="dxa"/>
            <w:noWrap w:val="0"/>
            <w:vAlign w:val="center"/>
          </w:tcPr>
          <w:p>
            <w:pPr>
              <w:snapToGrid w:val="0"/>
              <w:jc w:val="center"/>
              <w:rPr>
                <w:rFonts w:hint="eastAsia" w:ascii="仿宋_GB2312" w:hAnsi="仿宋_GB2312" w:eastAsia="仿宋_GB2312" w:cs="仿宋_GB2312"/>
                <w:color w:val="auto"/>
                <w:sz w:val="24"/>
                <w:szCs w:val="24"/>
                <w:lang w:eastAsia="zh-CN"/>
              </w:rPr>
            </w:pPr>
            <w:bookmarkStart w:id="1" w:name="OLE_LINK2"/>
            <w:r>
              <w:rPr>
                <w:rFonts w:hint="eastAsia" w:ascii="仿宋_GB2312" w:hAnsi="仿宋_GB2312" w:eastAsia="仿宋_GB2312" w:cs="仿宋_GB2312"/>
                <w:color w:val="auto"/>
                <w:sz w:val="24"/>
                <w:szCs w:val="24"/>
                <w:lang w:eastAsia="zh-CN"/>
              </w:rPr>
              <w:t>挥发性物质</w:t>
            </w:r>
            <w:bookmarkEnd w:id="1"/>
          </w:p>
        </w:tc>
        <w:tc>
          <w:tcPr>
            <w:tcW w:w="2876"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GB 4806.16</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val="en-US" w:eastAsia="zh-CN"/>
              </w:rPr>
              <w:t>2025</w:t>
            </w:r>
          </w:p>
        </w:tc>
        <w:tc>
          <w:tcPr>
            <w:tcW w:w="3156" w:type="dxa"/>
            <w:noWrap w:val="0"/>
            <w:vAlign w:val="center"/>
          </w:tcPr>
          <w:p>
            <w:pPr>
              <w:snapToGrid w:val="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color w:val="auto"/>
                <w:sz w:val="24"/>
                <w:szCs w:val="24"/>
                <w:lang w:val="en-US" w:eastAsia="zh-CN"/>
              </w:rPr>
              <w:t>GB 4806.16</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val="en-US" w:eastAsia="zh-CN"/>
              </w:rPr>
              <w:t>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jc w:val="center"/>
        </w:trPr>
        <w:tc>
          <w:tcPr>
            <w:tcW w:w="9344" w:type="dxa"/>
            <w:gridSpan w:val="4"/>
            <w:noWrap w:val="0"/>
            <w:vAlign w:val="center"/>
          </w:tcPr>
          <w:p>
            <w:pPr>
              <w:snapToGrid w:val="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注：1. 芳香族伯胺迁移总量</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N-亚硝胺和N-亚硝胺可生成物迁移总量仅适用于执行标准为GB 4806.11—2023。</w:t>
            </w:r>
          </w:p>
          <w:p>
            <w:pPr>
              <w:snapToGrid w:val="0"/>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2. </w:t>
            </w:r>
            <w:r>
              <w:rPr>
                <w:rFonts w:hint="eastAsia" w:ascii="仿宋_GB2312" w:hAnsi="仿宋_GB2312" w:eastAsia="仿宋_GB2312" w:cs="仿宋_GB2312"/>
                <w:color w:val="auto"/>
                <w:sz w:val="24"/>
                <w:szCs w:val="24"/>
                <w:lang w:eastAsia="zh-CN"/>
              </w:rPr>
              <w:t>挥发性物质</w:t>
            </w:r>
            <w:r>
              <w:rPr>
                <w:rFonts w:hint="eastAsia" w:ascii="仿宋_GB2312" w:hAnsi="仿宋_GB2312" w:eastAsia="仿宋_GB2312" w:cs="仿宋_GB2312"/>
                <w:color w:val="auto"/>
                <w:sz w:val="24"/>
                <w:szCs w:val="24"/>
              </w:rPr>
              <w:t>仅适用于执行标准为GB 4806.1</w:t>
            </w:r>
            <w:r>
              <w:rPr>
                <w:rFonts w:hint="eastAsia" w:ascii="仿宋_GB2312" w:hAnsi="仿宋_GB2312" w:eastAsia="仿宋_GB2312" w:cs="仿宋_GB2312"/>
                <w:color w:val="auto"/>
                <w:sz w:val="24"/>
                <w:szCs w:val="24"/>
                <w:lang w:val="en-US" w:eastAsia="zh-CN"/>
              </w:rPr>
              <w:t>6</w:t>
            </w:r>
            <w:r>
              <w:rPr>
                <w:rFonts w:hint="eastAsia" w:ascii="仿宋_GB2312" w:hAnsi="仿宋_GB2312" w:eastAsia="仿宋_GB2312" w:cs="仿宋_GB2312"/>
                <w:color w:val="auto"/>
                <w:sz w:val="24"/>
                <w:szCs w:val="24"/>
              </w:rPr>
              <w:t>—202</w:t>
            </w:r>
            <w:r>
              <w:rPr>
                <w:rFonts w:hint="eastAsia" w:ascii="仿宋_GB2312" w:hAnsi="仿宋_GB2312" w:eastAsia="仿宋_GB2312" w:cs="仿宋_GB2312"/>
                <w:color w:val="auto"/>
                <w:sz w:val="24"/>
                <w:szCs w:val="24"/>
                <w:lang w:val="en-US" w:eastAsia="zh-CN"/>
              </w:rPr>
              <w:t>5。</w:t>
            </w:r>
          </w:p>
        </w:tc>
      </w:tr>
      <w:bookmarkEnd w:id="3"/>
    </w:tbl>
    <w:p>
      <w:pPr>
        <w:autoSpaceDE w:val="0"/>
        <w:autoSpaceDN w:val="0"/>
        <w:adjustRightInd w:val="0"/>
        <w:spacing w:line="59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执行企业标准、团体标准、地方标准的产品，检验项目参照上述内容执行。</w:t>
      </w:r>
    </w:p>
    <w:p>
      <w:pPr>
        <w:autoSpaceDE w:val="0"/>
        <w:autoSpaceDN w:val="0"/>
        <w:adjustRightInd w:val="0"/>
        <w:spacing w:line="59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凡是注日期的文件，其随后所有的修改单（不包括勘误的内容）或修订版不适用于本细则。凡是不注日期的文件，其最新版本适用于本细则。</w:t>
      </w:r>
    </w:p>
    <w:p>
      <w:pPr>
        <w:snapToGrid w:val="0"/>
        <w:spacing w:line="590" w:lineRule="exact"/>
        <w:ind w:firstLine="640" w:firstLineChars="200"/>
        <w:rPr>
          <w:rFonts w:hint="eastAsia" w:ascii="Times New Roman" w:hAnsi="Times New Roman" w:eastAsia="黑体"/>
          <w:color w:val="auto"/>
          <w:sz w:val="32"/>
          <w:szCs w:val="32"/>
        </w:rPr>
      </w:pPr>
      <w:r>
        <w:rPr>
          <w:rFonts w:hint="eastAsia" w:ascii="Times New Roman" w:hAnsi="Times New Roman" w:eastAsia="黑体"/>
          <w:color w:val="auto"/>
          <w:sz w:val="32"/>
          <w:szCs w:val="32"/>
        </w:rPr>
        <w:t>3 判定规则</w:t>
      </w:r>
    </w:p>
    <w:p>
      <w:pPr>
        <w:adjustRightInd w:val="0"/>
        <w:snapToGrid w:val="0"/>
        <w:spacing w:line="59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3.1依据标准</w:t>
      </w:r>
    </w:p>
    <w:p>
      <w:pPr>
        <w:spacing w:line="590" w:lineRule="exact"/>
        <w:ind w:firstLine="640" w:firstLineChars="200"/>
        <w:rPr>
          <w:rFonts w:hint="eastAsia" w:ascii="Times New Roman" w:hAnsi="Times New Roman" w:eastAsia="仿宋_GB2312"/>
          <w:color w:val="auto"/>
          <w:sz w:val="32"/>
          <w:szCs w:val="32"/>
          <w:lang w:bidi="ar"/>
        </w:rPr>
      </w:pPr>
      <w:r>
        <w:rPr>
          <w:rFonts w:hint="eastAsia" w:ascii="Times New Roman" w:hAnsi="Times New Roman" w:eastAsia="仿宋_GB2312"/>
          <w:color w:val="auto"/>
          <w:sz w:val="32"/>
          <w:szCs w:val="32"/>
          <w:lang w:bidi="ar"/>
        </w:rPr>
        <w:t>GB 4806.11—2016 食品安全国家标准食品接触用橡胶材料及制品</w:t>
      </w:r>
    </w:p>
    <w:p>
      <w:pPr>
        <w:spacing w:line="590" w:lineRule="exact"/>
        <w:ind w:firstLine="640" w:firstLineChars="200"/>
        <w:rPr>
          <w:rFonts w:ascii="Times New Roman" w:hAnsi="Times New Roman" w:eastAsia="仿宋_GB2312"/>
          <w:color w:val="auto"/>
          <w:sz w:val="32"/>
          <w:szCs w:val="32"/>
          <w:lang w:bidi="ar"/>
        </w:rPr>
      </w:pPr>
      <w:r>
        <w:rPr>
          <w:rFonts w:ascii="Times New Roman" w:hAnsi="Times New Roman" w:eastAsia="仿宋_GB2312"/>
          <w:color w:val="auto"/>
          <w:sz w:val="32"/>
          <w:szCs w:val="32"/>
          <w:lang w:bidi="ar"/>
        </w:rPr>
        <w:t>GB 4806.11</w:t>
      </w:r>
      <w:bookmarkStart w:id="2" w:name="OLE_LINK3"/>
      <w:r>
        <w:rPr>
          <w:rFonts w:ascii="Times New Roman" w:hAnsi="Times New Roman" w:eastAsia="仿宋_GB2312"/>
          <w:color w:val="auto"/>
          <w:sz w:val="32"/>
          <w:szCs w:val="32"/>
          <w:lang w:bidi="ar"/>
        </w:rPr>
        <w:t>—</w:t>
      </w:r>
      <w:bookmarkEnd w:id="2"/>
      <w:r>
        <w:rPr>
          <w:rFonts w:ascii="Times New Roman" w:hAnsi="Times New Roman" w:eastAsia="仿宋_GB2312"/>
          <w:color w:val="auto"/>
          <w:sz w:val="32"/>
          <w:szCs w:val="32"/>
          <w:lang w:bidi="ar"/>
        </w:rPr>
        <w:t>2023 食品安全国家标准 食品接触用橡胶材料及制品</w:t>
      </w:r>
    </w:p>
    <w:p>
      <w:pPr>
        <w:spacing w:line="590" w:lineRule="exact"/>
        <w:ind w:firstLine="640" w:firstLineChars="200"/>
        <w:rPr>
          <w:rFonts w:hint="default" w:ascii="Times New Roman" w:hAnsi="Times New Roman" w:eastAsia="仿宋_GB2312"/>
          <w:color w:val="auto"/>
          <w:sz w:val="32"/>
          <w:szCs w:val="32"/>
          <w:lang w:val="en-US" w:eastAsia="zh-CN" w:bidi="ar"/>
        </w:rPr>
      </w:pPr>
      <w:r>
        <w:rPr>
          <w:rFonts w:hint="eastAsia" w:ascii="Times New Roman" w:hAnsi="Times New Roman" w:eastAsia="仿宋_GB2312"/>
          <w:color w:val="auto"/>
          <w:sz w:val="32"/>
          <w:szCs w:val="32"/>
          <w:lang w:val="en-US" w:eastAsia="zh-CN" w:bidi="ar"/>
        </w:rPr>
        <w:t>GB 4806.16</w:t>
      </w:r>
      <w:r>
        <w:rPr>
          <w:rFonts w:ascii="Times New Roman" w:hAnsi="Times New Roman" w:eastAsia="仿宋_GB2312"/>
          <w:color w:val="auto"/>
          <w:sz w:val="32"/>
          <w:szCs w:val="32"/>
          <w:lang w:bidi="ar"/>
        </w:rPr>
        <w:t>—</w:t>
      </w:r>
      <w:r>
        <w:rPr>
          <w:rFonts w:hint="eastAsia" w:ascii="Times New Roman" w:hAnsi="Times New Roman" w:eastAsia="仿宋_GB2312"/>
          <w:color w:val="auto"/>
          <w:sz w:val="32"/>
          <w:szCs w:val="32"/>
          <w:lang w:val="en-US" w:eastAsia="zh-CN" w:bidi="ar"/>
        </w:rPr>
        <w:t xml:space="preserve">2025 </w:t>
      </w:r>
      <w:r>
        <w:rPr>
          <w:rFonts w:ascii="Times New Roman" w:hAnsi="Times New Roman" w:eastAsia="仿宋_GB2312"/>
          <w:color w:val="auto"/>
          <w:sz w:val="32"/>
          <w:szCs w:val="32"/>
          <w:lang w:bidi="ar"/>
        </w:rPr>
        <w:t>食品安全国家标准 食品接触用</w:t>
      </w:r>
      <w:r>
        <w:rPr>
          <w:rFonts w:hint="eastAsia" w:ascii="Times New Roman" w:hAnsi="Times New Roman" w:eastAsia="仿宋_GB2312"/>
          <w:color w:val="auto"/>
          <w:sz w:val="32"/>
          <w:szCs w:val="32"/>
          <w:lang w:eastAsia="zh-CN" w:bidi="ar"/>
        </w:rPr>
        <w:t>硅</w:t>
      </w:r>
      <w:r>
        <w:rPr>
          <w:rFonts w:ascii="Times New Roman" w:hAnsi="Times New Roman" w:eastAsia="仿宋_GB2312"/>
          <w:color w:val="auto"/>
          <w:sz w:val="32"/>
          <w:szCs w:val="32"/>
          <w:lang w:bidi="ar"/>
        </w:rPr>
        <w:t>橡胶材料及制品</w:t>
      </w:r>
    </w:p>
    <w:p>
      <w:pPr>
        <w:spacing w:line="590" w:lineRule="exact"/>
        <w:ind w:firstLine="640" w:firstLineChars="200"/>
        <w:rPr>
          <w:rFonts w:ascii="Times New Roman" w:hAnsi="Times New Roman" w:eastAsia="仿宋_GB2312"/>
          <w:color w:val="auto"/>
          <w:sz w:val="32"/>
          <w:szCs w:val="32"/>
          <w:lang w:bidi="ar"/>
        </w:rPr>
      </w:pPr>
      <w:r>
        <w:rPr>
          <w:rFonts w:ascii="Times New Roman" w:hAnsi="Times New Roman" w:eastAsia="仿宋_GB2312"/>
          <w:color w:val="auto"/>
          <w:sz w:val="32"/>
          <w:szCs w:val="32"/>
          <w:lang w:bidi="ar"/>
        </w:rPr>
        <w:t>现行有效的企业标准、团体标准、地方标准及产品明示质量要求</w:t>
      </w:r>
    </w:p>
    <w:p>
      <w:pPr>
        <w:adjustRightInd w:val="0"/>
        <w:snapToGrid w:val="0"/>
        <w:spacing w:line="59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3.2判定原则</w:t>
      </w:r>
    </w:p>
    <w:p>
      <w:pPr>
        <w:spacing w:line="59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经检验，检验项目全部合格，判定为被抽查产品所检项目未发现不合格；检验项目中任一项或一项以上不合格，判定为被抽查产品不合格。</w:t>
      </w:r>
    </w:p>
    <w:p>
      <w:pPr>
        <w:spacing w:line="59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若被检产品明示的质量要求高于本细则中检验项目依据的标准要求时，应按被检产品明示的质量要求判定。</w:t>
      </w:r>
    </w:p>
    <w:p>
      <w:pPr>
        <w:spacing w:line="59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若被检产品明示的质量要求低于本细则中检验项目依据的强制性标准要求时，应按照强制性标准要求判定。</w:t>
      </w:r>
    </w:p>
    <w:p>
      <w:pPr>
        <w:spacing w:line="59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若被检产品明示的质量要求低于或包含本细则中检验项目依据的推荐性标准要求时，应以被检产品明示的质量要求判定。</w:t>
      </w:r>
    </w:p>
    <w:p>
      <w:pPr>
        <w:spacing w:line="59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若被检产品明示的质量要求缺少本细则中检验项目依据的强制性标准要求时，应按照强制性标准要求判定。</w:t>
      </w:r>
    </w:p>
    <w:p>
      <w:pPr>
        <w:spacing w:line="59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若被检产品明示的质量要求缺少本细则中检验项目依据的推荐性标准要求时，该项目不参与判定。</w:t>
      </w:r>
    </w:p>
    <w:sectPr>
      <w:footerReference r:id="rId3" w:type="default"/>
      <w:footerReference r:id="rId4" w:type="even"/>
      <w:pgSz w:w="11906" w:h="16838"/>
      <w:pgMar w:top="1984" w:right="1474" w:bottom="1644" w:left="1474" w:header="851" w:footer="1191" w:gutter="0"/>
      <w:pgNumType w:start="2"/>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书宋_GBK">
    <w:panose1 w:val="03000509000000000000"/>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210" w:leftChars="100" w:right="210" w:rightChars="100"/>
      <w:jc w:val="right"/>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3</w:t>
    </w:r>
    <w:r>
      <w:rPr>
        <w:rFonts w:hint="eastAsia" w:ascii="宋体" w:hAnsi="宋体" w:cs="宋体"/>
        <w:sz w:val="28"/>
        <w:szCs w:val="28"/>
      </w:rPr>
      <w:fldChar w:fldCharType="end"/>
    </w:r>
    <w:r>
      <w:rPr>
        <w:rFonts w:hint="eastAsia" w:ascii="宋体" w:hAnsi="宋体" w:cs="宋体"/>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315" w:leftChars="150" w:right="315" w:rightChars="150"/>
      <w:jc w:val="both"/>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2</w:t>
    </w:r>
    <w:r>
      <w:rPr>
        <w:rFonts w:hint="eastAsia" w:ascii="宋体" w:hAnsi="宋体" w:cs="宋体"/>
        <w:sz w:val="28"/>
        <w:szCs w:val="28"/>
      </w:rPr>
      <w:fldChar w:fldCharType="end"/>
    </w:r>
    <w:r>
      <w:rPr>
        <w:rFonts w:hint="eastAsia" w:ascii="宋体" w:hAnsi="宋体" w:cs="宋体"/>
        <w:sz w:val="28"/>
        <w:szCs w:val="28"/>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hyphenationZone w:val="360"/>
  <w:evenAndOddHeaders w:val="true"/>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1BA"/>
    <w:rsid w:val="00014997"/>
    <w:rsid w:val="000169E7"/>
    <w:rsid w:val="00030852"/>
    <w:rsid w:val="00052D0A"/>
    <w:rsid w:val="00053DF0"/>
    <w:rsid w:val="000564D8"/>
    <w:rsid w:val="000660D8"/>
    <w:rsid w:val="0006741A"/>
    <w:rsid w:val="00076FDF"/>
    <w:rsid w:val="00080190"/>
    <w:rsid w:val="000A0C0F"/>
    <w:rsid w:val="000A1F68"/>
    <w:rsid w:val="000B2754"/>
    <w:rsid w:val="000E3B8E"/>
    <w:rsid w:val="000E51B5"/>
    <w:rsid w:val="000E5A92"/>
    <w:rsid w:val="000E6B70"/>
    <w:rsid w:val="000F3EFF"/>
    <w:rsid w:val="0010045C"/>
    <w:rsid w:val="00105F4F"/>
    <w:rsid w:val="001101B1"/>
    <w:rsid w:val="001134E2"/>
    <w:rsid w:val="00130C21"/>
    <w:rsid w:val="0013450E"/>
    <w:rsid w:val="00135D58"/>
    <w:rsid w:val="001479E1"/>
    <w:rsid w:val="00160B75"/>
    <w:rsid w:val="00171AE6"/>
    <w:rsid w:val="00175325"/>
    <w:rsid w:val="00177DAE"/>
    <w:rsid w:val="001960E8"/>
    <w:rsid w:val="00197FAE"/>
    <w:rsid w:val="001A2854"/>
    <w:rsid w:val="001B1ECE"/>
    <w:rsid w:val="001B3557"/>
    <w:rsid w:val="001C00A7"/>
    <w:rsid w:val="001C3163"/>
    <w:rsid w:val="001D3021"/>
    <w:rsid w:val="001E7E75"/>
    <w:rsid w:val="001F29C8"/>
    <w:rsid w:val="001F4D89"/>
    <w:rsid w:val="0021010D"/>
    <w:rsid w:val="00251E34"/>
    <w:rsid w:val="002543F2"/>
    <w:rsid w:val="002642D1"/>
    <w:rsid w:val="00267BE7"/>
    <w:rsid w:val="00283526"/>
    <w:rsid w:val="00287CFB"/>
    <w:rsid w:val="002A1067"/>
    <w:rsid w:val="002A3CF4"/>
    <w:rsid w:val="002C75FA"/>
    <w:rsid w:val="002D762D"/>
    <w:rsid w:val="002F3260"/>
    <w:rsid w:val="00300201"/>
    <w:rsid w:val="00301FD0"/>
    <w:rsid w:val="003100C5"/>
    <w:rsid w:val="003139FD"/>
    <w:rsid w:val="00315A61"/>
    <w:rsid w:val="00324C61"/>
    <w:rsid w:val="00342341"/>
    <w:rsid w:val="00354255"/>
    <w:rsid w:val="00355360"/>
    <w:rsid w:val="00360312"/>
    <w:rsid w:val="003611BA"/>
    <w:rsid w:val="003701D3"/>
    <w:rsid w:val="00394080"/>
    <w:rsid w:val="00394768"/>
    <w:rsid w:val="003A4091"/>
    <w:rsid w:val="003C4925"/>
    <w:rsid w:val="003E4BDB"/>
    <w:rsid w:val="003E72E4"/>
    <w:rsid w:val="00402234"/>
    <w:rsid w:val="00410DF3"/>
    <w:rsid w:val="004123BE"/>
    <w:rsid w:val="00424667"/>
    <w:rsid w:val="004249BF"/>
    <w:rsid w:val="004314DE"/>
    <w:rsid w:val="004565AD"/>
    <w:rsid w:val="004601B9"/>
    <w:rsid w:val="00473C98"/>
    <w:rsid w:val="004908A6"/>
    <w:rsid w:val="004A34C8"/>
    <w:rsid w:val="004A4333"/>
    <w:rsid w:val="004A4DFC"/>
    <w:rsid w:val="004B599D"/>
    <w:rsid w:val="004C6EAB"/>
    <w:rsid w:val="004C79DF"/>
    <w:rsid w:val="004D05AF"/>
    <w:rsid w:val="004E21AE"/>
    <w:rsid w:val="004E3189"/>
    <w:rsid w:val="004E43E4"/>
    <w:rsid w:val="004E741E"/>
    <w:rsid w:val="00507AE0"/>
    <w:rsid w:val="0051512A"/>
    <w:rsid w:val="005167DB"/>
    <w:rsid w:val="00526A3A"/>
    <w:rsid w:val="0054203D"/>
    <w:rsid w:val="00560FE5"/>
    <w:rsid w:val="00577F36"/>
    <w:rsid w:val="00580FD4"/>
    <w:rsid w:val="0058127B"/>
    <w:rsid w:val="005B23B4"/>
    <w:rsid w:val="00624DD6"/>
    <w:rsid w:val="006350F9"/>
    <w:rsid w:val="0064014B"/>
    <w:rsid w:val="00652075"/>
    <w:rsid w:val="00652B40"/>
    <w:rsid w:val="0065576E"/>
    <w:rsid w:val="00660FFF"/>
    <w:rsid w:val="00661A7F"/>
    <w:rsid w:val="0066309F"/>
    <w:rsid w:val="00670265"/>
    <w:rsid w:val="0067449B"/>
    <w:rsid w:val="00675807"/>
    <w:rsid w:val="006904C0"/>
    <w:rsid w:val="006938F7"/>
    <w:rsid w:val="006B1E6D"/>
    <w:rsid w:val="006B26CB"/>
    <w:rsid w:val="006C75F5"/>
    <w:rsid w:val="006D2C66"/>
    <w:rsid w:val="006E047A"/>
    <w:rsid w:val="006E7277"/>
    <w:rsid w:val="006F3686"/>
    <w:rsid w:val="006F6818"/>
    <w:rsid w:val="00700705"/>
    <w:rsid w:val="007032EA"/>
    <w:rsid w:val="00712FE6"/>
    <w:rsid w:val="00721DBD"/>
    <w:rsid w:val="007346B4"/>
    <w:rsid w:val="007408AB"/>
    <w:rsid w:val="0076570D"/>
    <w:rsid w:val="00766407"/>
    <w:rsid w:val="007844D7"/>
    <w:rsid w:val="007849D4"/>
    <w:rsid w:val="00791F72"/>
    <w:rsid w:val="007B5143"/>
    <w:rsid w:val="007C5B37"/>
    <w:rsid w:val="007D668A"/>
    <w:rsid w:val="007E518A"/>
    <w:rsid w:val="007E7B78"/>
    <w:rsid w:val="00801099"/>
    <w:rsid w:val="0081765C"/>
    <w:rsid w:val="00836457"/>
    <w:rsid w:val="00842CE3"/>
    <w:rsid w:val="0084464B"/>
    <w:rsid w:val="008536DB"/>
    <w:rsid w:val="00863267"/>
    <w:rsid w:val="00863F48"/>
    <w:rsid w:val="00872CC4"/>
    <w:rsid w:val="008737DB"/>
    <w:rsid w:val="00877F66"/>
    <w:rsid w:val="008B4A07"/>
    <w:rsid w:val="008C2A7E"/>
    <w:rsid w:val="008D5AB0"/>
    <w:rsid w:val="008E4C32"/>
    <w:rsid w:val="008F131B"/>
    <w:rsid w:val="00910C47"/>
    <w:rsid w:val="00911043"/>
    <w:rsid w:val="00924FE0"/>
    <w:rsid w:val="00933214"/>
    <w:rsid w:val="00963128"/>
    <w:rsid w:val="009740D6"/>
    <w:rsid w:val="009761A4"/>
    <w:rsid w:val="009A6925"/>
    <w:rsid w:val="009B06A4"/>
    <w:rsid w:val="009B3AF3"/>
    <w:rsid w:val="009B48C4"/>
    <w:rsid w:val="009C1C38"/>
    <w:rsid w:val="009D2CD9"/>
    <w:rsid w:val="009D2E2A"/>
    <w:rsid w:val="009E6086"/>
    <w:rsid w:val="009F189F"/>
    <w:rsid w:val="00A055B0"/>
    <w:rsid w:val="00A0674B"/>
    <w:rsid w:val="00A16228"/>
    <w:rsid w:val="00A4091B"/>
    <w:rsid w:val="00A45E64"/>
    <w:rsid w:val="00A5157E"/>
    <w:rsid w:val="00A66A3D"/>
    <w:rsid w:val="00A7543F"/>
    <w:rsid w:val="00A77E8A"/>
    <w:rsid w:val="00A916BA"/>
    <w:rsid w:val="00A93A2D"/>
    <w:rsid w:val="00AA0D8B"/>
    <w:rsid w:val="00AB2350"/>
    <w:rsid w:val="00AB462B"/>
    <w:rsid w:val="00AC4F00"/>
    <w:rsid w:val="00AD0E3E"/>
    <w:rsid w:val="00AD610D"/>
    <w:rsid w:val="00AE1821"/>
    <w:rsid w:val="00AE471A"/>
    <w:rsid w:val="00AE5734"/>
    <w:rsid w:val="00AF5572"/>
    <w:rsid w:val="00AF593A"/>
    <w:rsid w:val="00B008B5"/>
    <w:rsid w:val="00B100BF"/>
    <w:rsid w:val="00B137E4"/>
    <w:rsid w:val="00B20E9E"/>
    <w:rsid w:val="00B258D8"/>
    <w:rsid w:val="00B476F3"/>
    <w:rsid w:val="00B51584"/>
    <w:rsid w:val="00B54E2B"/>
    <w:rsid w:val="00B55224"/>
    <w:rsid w:val="00B61E83"/>
    <w:rsid w:val="00B80476"/>
    <w:rsid w:val="00B95B33"/>
    <w:rsid w:val="00B97F97"/>
    <w:rsid w:val="00BC036B"/>
    <w:rsid w:val="00BD109E"/>
    <w:rsid w:val="00BD2490"/>
    <w:rsid w:val="00BD3023"/>
    <w:rsid w:val="00BE2C4C"/>
    <w:rsid w:val="00BE458B"/>
    <w:rsid w:val="00C04FF3"/>
    <w:rsid w:val="00C06EF5"/>
    <w:rsid w:val="00C075F6"/>
    <w:rsid w:val="00C174BC"/>
    <w:rsid w:val="00C17712"/>
    <w:rsid w:val="00C17F20"/>
    <w:rsid w:val="00C207B1"/>
    <w:rsid w:val="00C21785"/>
    <w:rsid w:val="00C21C4E"/>
    <w:rsid w:val="00C345BB"/>
    <w:rsid w:val="00C46A22"/>
    <w:rsid w:val="00C5322B"/>
    <w:rsid w:val="00C55C57"/>
    <w:rsid w:val="00C57739"/>
    <w:rsid w:val="00C636A3"/>
    <w:rsid w:val="00C637C7"/>
    <w:rsid w:val="00C71A81"/>
    <w:rsid w:val="00C9467F"/>
    <w:rsid w:val="00CA58E7"/>
    <w:rsid w:val="00CB14A9"/>
    <w:rsid w:val="00CB5484"/>
    <w:rsid w:val="00CD3877"/>
    <w:rsid w:val="00CF5F1B"/>
    <w:rsid w:val="00D027AD"/>
    <w:rsid w:val="00D1325F"/>
    <w:rsid w:val="00D15332"/>
    <w:rsid w:val="00D26154"/>
    <w:rsid w:val="00D31DB4"/>
    <w:rsid w:val="00D6657B"/>
    <w:rsid w:val="00D71E2A"/>
    <w:rsid w:val="00D727ED"/>
    <w:rsid w:val="00D732ED"/>
    <w:rsid w:val="00D768C6"/>
    <w:rsid w:val="00D857CF"/>
    <w:rsid w:val="00D85C2A"/>
    <w:rsid w:val="00D879A0"/>
    <w:rsid w:val="00D92551"/>
    <w:rsid w:val="00D92B01"/>
    <w:rsid w:val="00D9506C"/>
    <w:rsid w:val="00D969BA"/>
    <w:rsid w:val="00DA66B2"/>
    <w:rsid w:val="00DB24B2"/>
    <w:rsid w:val="00DC0140"/>
    <w:rsid w:val="00DD42B6"/>
    <w:rsid w:val="00DD6F7D"/>
    <w:rsid w:val="00DD7E3B"/>
    <w:rsid w:val="00DE1227"/>
    <w:rsid w:val="00DE5404"/>
    <w:rsid w:val="00DE7240"/>
    <w:rsid w:val="00DF481F"/>
    <w:rsid w:val="00E1489E"/>
    <w:rsid w:val="00E155ED"/>
    <w:rsid w:val="00E24FC8"/>
    <w:rsid w:val="00E55DC8"/>
    <w:rsid w:val="00E5609E"/>
    <w:rsid w:val="00E735BE"/>
    <w:rsid w:val="00E758B0"/>
    <w:rsid w:val="00E96130"/>
    <w:rsid w:val="00ED0843"/>
    <w:rsid w:val="00ED2869"/>
    <w:rsid w:val="00EF0AC2"/>
    <w:rsid w:val="00EF2B9F"/>
    <w:rsid w:val="00F20A2A"/>
    <w:rsid w:val="00F94323"/>
    <w:rsid w:val="00F97EA2"/>
    <w:rsid w:val="00FA2884"/>
    <w:rsid w:val="00FA45C8"/>
    <w:rsid w:val="00FA59DC"/>
    <w:rsid w:val="00FA752F"/>
    <w:rsid w:val="00FC0C80"/>
    <w:rsid w:val="00FC1893"/>
    <w:rsid w:val="00FE1549"/>
    <w:rsid w:val="00FF75D5"/>
    <w:rsid w:val="01757279"/>
    <w:rsid w:val="02394E6E"/>
    <w:rsid w:val="04253E6E"/>
    <w:rsid w:val="071C39DD"/>
    <w:rsid w:val="08771AF7"/>
    <w:rsid w:val="091B1E77"/>
    <w:rsid w:val="0BAC4466"/>
    <w:rsid w:val="0C3020D5"/>
    <w:rsid w:val="0DF707EE"/>
    <w:rsid w:val="0EB1640F"/>
    <w:rsid w:val="1028695D"/>
    <w:rsid w:val="10BD1455"/>
    <w:rsid w:val="11457630"/>
    <w:rsid w:val="14707C4A"/>
    <w:rsid w:val="14A748C1"/>
    <w:rsid w:val="1B2A47F6"/>
    <w:rsid w:val="1C5A40F3"/>
    <w:rsid w:val="1F8E12CC"/>
    <w:rsid w:val="1FBF627D"/>
    <w:rsid w:val="21A6643E"/>
    <w:rsid w:val="2230378B"/>
    <w:rsid w:val="239A1E3F"/>
    <w:rsid w:val="24732C9A"/>
    <w:rsid w:val="29817179"/>
    <w:rsid w:val="2C062286"/>
    <w:rsid w:val="2EEB0BEA"/>
    <w:rsid w:val="2F7E1FD8"/>
    <w:rsid w:val="32E870FA"/>
    <w:rsid w:val="3AEB18C6"/>
    <w:rsid w:val="3BD8119D"/>
    <w:rsid w:val="3C005133"/>
    <w:rsid w:val="3C180011"/>
    <w:rsid w:val="3CFC19D8"/>
    <w:rsid w:val="45E3CBB9"/>
    <w:rsid w:val="48CA1E6A"/>
    <w:rsid w:val="49D667BF"/>
    <w:rsid w:val="4A137D2C"/>
    <w:rsid w:val="4A1D0919"/>
    <w:rsid w:val="4A8C33C5"/>
    <w:rsid w:val="4FC039DD"/>
    <w:rsid w:val="50401092"/>
    <w:rsid w:val="5170264F"/>
    <w:rsid w:val="54C05621"/>
    <w:rsid w:val="54E92474"/>
    <w:rsid w:val="55CC633D"/>
    <w:rsid w:val="5DF51C50"/>
    <w:rsid w:val="5E4302CA"/>
    <w:rsid w:val="60D566FD"/>
    <w:rsid w:val="61D054C2"/>
    <w:rsid w:val="61F5033B"/>
    <w:rsid w:val="633F1A4A"/>
    <w:rsid w:val="652F585C"/>
    <w:rsid w:val="6C1C7FCC"/>
    <w:rsid w:val="723415EF"/>
    <w:rsid w:val="77DFD360"/>
    <w:rsid w:val="7A3B6FAF"/>
    <w:rsid w:val="7DFA5F86"/>
    <w:rsid w:val="BEFF0EDA"/>
    <w:rsid w:val="F9FBABDE"/>
    <w:rsid w:val="FE5C391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9"/>
    <w:pPr>
      <w:keepNext/>
      <w:keepLines/>
      <w:spacing w:before="340" w:after="330" w:line="578" w:lineRule="auto"/>
      <w:outlineLvl w:val="0"/>
    </w:pPr>
    <w:rPr>
      <w:b/>
      <w:bCs/>
      <w:kern w:val="44"/>
      <w:sz w:val="44"/>
      <w:szCs w:val="44"/>
    </w:rPr>
  </w:style>
  <w:style w:type="character" w:default="1" w:styleId="13">
    <w:name w:val="Default Paragraph Font"/>
    <w:unhideWhenUsed/>
    <w:qFormat/>
    <w:uiPriority w:val="1"/>
  </w:style>
  <w:style w:type="table" w:default="1" w:styleId="11">
    <w:name w:val="Normal Table"/>
    <w:unhideWhenUsed/>
    <w:qFormat/>
    <w:uiPriority w:val="99"/>
    <w:tblPr>
      <w:tblCellMar>
        <w:top w:w="0" w:type="dxa"/>
        <w:left w:w="108" w:type="dxa"/>
        <w:bottom w:w="0" w:type="dxa"/>
        <w:right w:w="108" w:type="dxa"/>
      </w:tblCellMar>
    </w:tblPr>
  </w:style>
  <w:style w:type="paragraph" w:styleId="3">
    <w:name w:val="annotation text"/>
    <w:basedOn w:val="1"/>
    <w:link w:val="17"/>
    <w:unhideWhenUsed/>
    <w:qFormat/>
    <w:uiPriority w:val="99"/>
    <w:pPr>
      <w:jc w:val="left"/>
    </w:pPr>
  </w:style>
  <w:style w:type="paragraph" w:styleId="4">
    <w:name w:val="Body Text Indent"/>
    <w:basedOn w:val="1"/>
    <w:link w:val="18"/>
    <w:qFormat/>
    <w:uiPriority w:val="0"/>
    <w:pPr>
      <w:ind w:firstLine="600" w:firstLineChars="200"/>
    </w:pPr>
    <w:rPr>
      <w:rFonts w:ascii="Times New Roman" w:hAnsi="Times New Roman" w:eastAsia="仿宋_GB2312"/>
      <w:sz w:val="30"/>
      <w:szCs w:val="24"/>
    </w:rPr>
  </w:style>
  <w:style w:type="paragraph" w:styleId="5">
    <w:name w:val="Plain Text"/>
    <w:basedOn w:val="1"/>
    <w:link w:val="19"/>
    <w:unhideWhenUsed/>
    <w:qFormat/>
    <w:uiPriority w:val="99"/>
    <w:rPr>
      <w:rFonts w:ascii="宋体" w:hAnsi="Courier New"/>
      <w:kern w:val="0"/>
      <w:sz w:val="20"/>
      <w:szCs w:val="20"/>
    </w:rPr>
  </w:style>
  <w:style w:type="paragraph" w:styleId="6">
    <w:name w:val="Balloon Text"/>
    <w:basedOn w:val="1"/>
    <w:link w:val="20"/>
    <w:unhideWhenUsed/>
    <w:qFormat/>
    <w:uiPriority w:val="99"/>
    <w:rPr>
      <w:sz w:val="18"/>
      <w:szCs w:val="18"/>
    </w:rPr>
  </w:style>
  <w:style w:type="paragraph" w:styleId="7">
    <w:name w:val="footer"/>
    <w:basedOn w:val="1"/>
    <w:link w:val="21"/>
    <w:unhideWhenUsed/>
    <w:qFormat/>
    <w:uiPriority w:val="99"/>
    <w:pPr>
      <w:tabs>
        <w:tab w:val="center" w:pos="4153"/>
        <w:tab w:val="right" w:pos="8306"/>
      </w:tabs>
      <w:snapToGrid w:val="0"/>
      <w:jc w:val="left"/>
    </w:pPr>
    <w:rPr>
      <w:sz w:val="18"/>
      <w:szCs w:val="18"/>
    </w:rPr>
  </w:style>
  <w:style w:type="paragraph" w:styleId="8">
    <w:name w:val="header"/>
    <w:basedOn w:val="1"/>
    <w:link w:val="22"/>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Body Text Indent 3"/>
    <w:basedOn w:val="1"/>
    <w:link w:val="23"/>
    <w:qFormat/>
    <w:uiPriority w:val="0"/>
    <w:pPr>
      <w:widowControl/>
      <w:autoSpaceDE w:val="0"/>
      <w:autoSpaceDN w:val="0"/>
      <w:adjustRightInd w:val="0"/>
      <w:snapToGrid w:val="0"/>
      <w:spacing w:line="600" w:lineRule="exact"/>
      <w:ind w:left="646" w:leftChars="323" w:firstLine="643" w:firstLineChars="201"/>
    </w:pPr>
    <w:rPr>
      <w:rFonts w:ascii="仿宋_GB2312" w:hAnsi="Times New Roman" w:eastAsia="仿宋_GB2312"/>
      <w:kern w:val="0"/>
      <w:sz w:val="32"/>
      <w:szCs w:val="20"/>
    </w:rPr>
  </w:style>
  <w:style w:type="paragraph" w:styleId="10">
    <w:name w:val="annotation subject"/>
    <w:basedOn w:val="3"/>
    <w:next w:val="3"/>
    <w:link w:val="24"/>
    <w:unhideWhenUsed/>
    <w:qFormat/>
    <w:uiPriority w:val="99"/>
    <w:rPr>
      <w:b/>
      <w:bCs/>
    </w:rPr>
  </w:style>
  <w:style w:type="table" w:styleId="12">
    <w:name w:val="Table Grid"/>
    <w:basedOn w:val="11"/>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qFormat/>
    <w:uiPriority w:val="0"/>
  </w:style>
  <w:style w:type="character" w:styleId="15">
    <w:name w:val="annotation reference"/>
    <w:unhideWhenUsed/>
    <w:qFormat/>
    <w:uiPriority w:val="99"/>
    <w:rPr>
      <w:sz w:val="21"/>
      <w:szCs w:val="21"/>
    </w:rPr>
  </w:style>
  <w:style w:type="character" w:customStyle="1" w:styleId="16">
    <w:name w:val="标题 1 Char"/>
    <w:link w:val="2"/>
    <w:qFormat/>
    <w:uiPriority w:val="9"/>
    <w:rPr>
      <w:rFonts w:ascii="Calibri" w:hAnsi="Calibri" w:eastAsia="宋体" w:cs="Times New Roman"/>
      <w:b/>
      <w:bCs/>
      <w:kern w:val="44"/>
      <w:sz w:val="44"/>
      <w:szCs w:val="44"/>
    </w:rPr>
  </w:style>
  <w:style w:type="character" w:customStyle="1" w:styleId="17">
    <w:name w:val="批注文字 Char"/>
    <w:link w:val="3"/>
    <w:semiHidden/>
    <w:qFormat/>
    <w:uiPriority w:val="99"/>
    <w:rPr>
      <w:rFonts w:ascii="Calibri" w:hAnsi="Calibri"/>
      <w:kern w:val="2"/>
      <w:sz w:val="21"/>
      <w:szCs w:val="22"/>
    </w:rPr>
  </w:style>
  <w:style w:type="character" w:customStyle="1" w:styleId="18">
    <w:name w:val="正文文本缩进 Char"/>
    <w:link w:val="4"/>
    <w:qFormat/>
    <w:uiPriority w:val="0"/>
    <w:rPr>
      <w:rFonts w:ascii="Times New Roman" w:hAnsi="Times New Roman" w:eastAsia="仿宋_GB2312" w:cs="Times New Roman"/>
      <w:sz w:val="30"/>
      <w:szCs w:val="24"/>
    </w:rPr>
  </w:style>
  <w:style w:type="character" w:customStyle="1" w:styleId="19">
    <w:name w:val="纯文本 Char"/>
    <w:link w:val="5"/>
    <w:qFormat/>
    <w:uiPriority w:val="99"/>
    <w:rPr>
      <w:rFonts w:ascii="宋体" w:hAnsi="Courier New" w:eastAsia="宋体" w:cs="Times New Roman"/>
      <w:kern w:val="0"/>
      <w:sz w:val="20"/>
      <w:szCs w:val="20"/>
    </w:rPr>
  </w:style>
  <w:style w:type="character" w:customStyle="1" w:styleId="20">
    <w:name w:val="批注框文本 Char"/>
    <w:link w:val="6"/>
    <w:qFormat/>
    <w:uiPriority w:val="99"/>
    <w:rPr>
      <w:rFonts w:ascii="Calibri" w:hAnsi="Calibri" w:eastAsia="宋体" w:cs="Times New Roman"/>
      <w:sz w:val="18"/>
      <w:szCs w:val="18"/>
    </w:rPr>
  </w:style>
  <w:style w:type="character" w:customStyle="1" w:styleId="21">
    <w:name w:val="页脚 Char"/>
    <w:link w:val="7"/>
    <w:qFormat/>
    <w:uiPriority w:val="99"/>
    <w:rPr>
      <w:rFonts w:ascii="Calibri" w:hAnsi="Calibri" w:eastAsia="宋体" w:cs="Times New Roman"/>
      <w:sz w:val="18"/>
      <w:szCs w:val="18"/>
    </w:rPr>
  </w:style>
  <w:style w:type="character" w:customStyle="1" w:styleId="22">
    <w:name w:val="页眉 Char"/>
    <w:link w:val="8"/>
    <w:qFormat/>
    <w:uiPriority w:val="0"/>
    <w:rPr>
      <w:rFonts w:ascii="Calibri" w:hAnsi="Calibri" w:eastAsia="宋体" w:cs="Times New Roman"/>
      <w:sz w:val="18"/>
      <w:szCs w:val="18"/>
    </w:rPr>
  </w:style>
  <w:style w:type="character" w:customStyle="1" w:styleId="23">
    <w:name w:val="正文文本缩进 3 Char"/>
    <w:link w:val="9"/>
    <w:qFormat/>
    <w:uiPriority w:val="0"/>
    <w:rPr>
      <w:rFonts w:ascii="仿宋_GB2312" w:hAnsi="Times New Roman" w:eastAsia="仿宋_GB2312" w:cs="Times New Roman"/>
      <w:kern w:val="0"/>
      <w:sz w:val="32"/>
      <w:szCs w:val="20"/>
    </w:rPr>
  </w:style>
  <w:style w:type="character" w:customStyle="1" w:styleId="24">
    <w:name w:val="批注主题 Char"/>
    <w:link w:val="10"/>
    <w:semiHidden/>
    <w:qFormat/>
    <w:uiPriority w:val="99"/>
    <w:rPr>
      <w:rFonts w:ascii="Calibri" w:hAnsi="Calibri"/>
      <w:b/>
      <w:bCs/>
      <w:kern w:val="2"/>
      <w:sz w:val="21"/>
      <w:szCs w:val="22"/>
    </w:rPr>
  </w:style>
  <w:style w:type="character" w:customStyle="1" w:styleId="25">
    <w:name w:val="页眉 字符"/>
    <w:qFormat/>
    <w:uiPriority w:val="0"/>
    <w:rPr>
      <w:kern w:val="2"/>
      <w:sz w:val="18"/>
      <w:szCs w:val="18"/>
    </w:rPr>
  </w:style>
  <w:style w:type="character" w:customStyle="1" w:styleId="26">
    <w:name w:val="ask-title"/>
    <w:qFormat/>
    <w:uiPriority w:val="0"/>
  </w:style>
  <w:style w:type="character" w:customStyle="1" w:styleId="27">
    <w:name w:val="段 Char"/>
    <w:link w:val="28"/>
    <w:qFormat/>
    <w:uiPriority w:val="0"/>
    <w:rPr>
      <w:rFonts w:ascii="宋体" w:hAnsi="Times New Roman" w:eastAsia="宋体" w:cs="Times New Roman"/>
      <w:kern w:val="0"/>
      <w:szCs w:val="20"/>
    </w:rPr>
  </w:style>
  <w:style w:type="paragraph" w:customStyle="1" w:styleId="28">
    <w:name w:val="段"/>
    <w:link w:val="2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9">
    <w:name w:val="Char Char"/>
    <w:basedOn w:val="1"/>
    <w:semiHidden/>
    <w:qFormat/>
    <w:uiPriority w:val="0"/>
    <w:rPr>
      <w:rFonts w:ascii="Times New Roman" w:hAnsi="Times New Roman"/>
      <w:szCs w:val="20"/>
    </w:rPr>
  </w:style>
  <w:style w:type="paragraph" w:customStyle="1" w:styleId="30">
    <w:name w:val="列出段落2"/>
    <w:basedOn w:val="1"/>
    <w:qFormat/>
    <w:uiPriority w:val="99"/>
    <w:pPr>
      <w:ind w:firstLine="420" w:firstLineChars="200"/>
    </w:pPr>
  </w:style>
  <w:style w:type="paragraph" w:customStyle="1" w:styleId="31">
    <w:name w:val="Char11"/>
    <w:basedOn w:val="1"/>
    <w:qFormat/>
    <w:uiPriority w:val="0"/>
    <w:pPr>
      <w:jc w:val="center"/>
    </w:pPr>
    <w:rPr>
      <w:rFonts w:ascii="Times New Roman" w:hAnsi="Times New Roman"/>
      <w:szCs w:val="21"/>
    </w:rPr>
  </w:style>
  <w:style w:type="paragraph" w:styleId="32">
    <w:name w:val="List Paragraph"/>
    <w:basedOn w:val="1"/>
    <w:qFormat/>
    <w:uiPriority w:val="34"/>
    <w:pPr>
      <w:ind w:firstLine="420" w:firstLineChars="200"/>
    </w:pPr>
  </w:style>
  <w:style w:type="paragraph" w:customStyle="1" w:styleId="33">
    <w:name w:val="列出段落1"/>
    <w:basedOn w:val="1"/>
    <w:qFormat/>
    <w:uiPriority w:val="34"/>
    <w:pPr>
      <w:ind w:firstLine="420" w:firstLineChars="200"/>
    </w:pPr>
  </w:style>
  <w:style w:type="paragraph" w:customStyle="1" w:styleId="34">
    <w:name w:val="正文1"/>
    <w:basedOn w:val="1"/>
    <w:qFormat/>
    <w:uiPriority w:val="0"/>
    <w:pPr>
      <w:adjustRightInd w:val="0"/>
      <w:spacing w:before="120" w:after="120" w:line="300" w:lineRule="auto"/>
      <w:jc w:val="center"/>
      <w:textAlignment w:val="baseline"/>
    </w:pPr>
    <w:rPr>
      <w:rFonts w:ascii="Times New Roman" w:hAnsi="Times New Roman"/>
      <w:szCs w:val="20"/>
    </w:rPr>
  </w:style>
  <w:style w:type="paragraph" w:customStyle="1" w:styleId="35">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213</Words>
  <Characters>1219</Characters>
  <Lines>10</Lines>
  <Paragraphs>2</Paragraphs>
  <TotalTime>7</TotalTime>
  <ScaleCrop>false</ScaleCrop>
  <LinksUpToDate>false</LinksUpToDate>
  <CharactersWithSpaces>1430</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2025-06-18T13:13:00Z</dcterms:created>
  <dc:creator>oa</dc:creator>
  <cp:lastModifiedBy>user</cp:lastModifiedBy>
  <cp:lastPrinted>2025-02-13T11:22:00Z</cp:lastPrinted>
  <dcterms:modified xsi:type="dcterms:W3CDTF">2026-04-24T11:05:01Z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D1B10CF3EFDD4B07922BAB87DF0CB3D8</vt:lpwstr>
  </property>
</Properties>
</file>