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eastAsia="方正小标宋简体"/>
          <w:color w:val="auto"/>
          <w:sz w:val="44"/>
          <w:szCs w:val="44"/>
        </w:rPr>
      </w:pPr>
      <w:bookmarkStart w:id="0" w:name="_Hlk102659035"/>
      <w:r>
        <w:rPr>
          <w:rFonts w:hint="eastAsia" w:eastAsia="方正小标宋简体"/>
          <w:color w:val="auto"/>
          <w:sz w:val="44"/>
          <w:szCs w:val="44"/>
        </w:rPr>
        <w:t>东莞市</w:t>
      </w:r>
      <w:bookmarkEnd w:id="0"/>
      <w:r>
        <w:rPr>
          <w:rFonts w:hint="eastAsia" w:eastAsia="方正小标宋简体"/>
          <w:color w:val="auto"/>
          <w:sz w:val="44"/>
          <w:szCs w:val="44"/>
        </w:rPr>
        <w:t>食品用其他工具及塑料件产品</w:t>
      </w:r>
    </w:p>
    <w:p>
      <w:pPr>
        <w:adjustRightInd w:val="0"/>
        <w:snapToGrid w:val="0"/>
        <w:spacing w:line="590" w:lineRule="exact"/>
        <w:jc w:val="center"/>
        <w:rPr>
          <w:rFonts w:hint="eastAsia" w:eastAsia="方正小标宋简体"/>
          <w:color w:val="auto"/>
          <w:sz w:val="44"/>
          <w:szCs w:val="44"/>
        </w:rPr>
      </w:pPr>
      <w:r>
        <w:rPr>
          <w:rFonts w:hint="eastAsia" w:eastAsia="方正小标宋简体"/>
          <w:color w:val="auto"/>
          <w:sz w:val="44"/>
          <w:szCs w:val="44"/>
        </w:rPr>
        <w:t>质量监督抽查实施细则</w:t>
      </w:r>
    </w:p>
    <w:p>
      <w:pPr>
        <w:adjustRightInd w:val="0"/>
        <w:snapToGrid w:val="0"/>
        <w:spacing w:line="590" w:lineRule="exact"/>
        <w:jc w:val="center"/>
        <w:rPr>
          <w:rFonts w:eastAsia="楷体_GB2312"/>
          <w:color w:val="auto"/>
          <w:sz w:val="32"/>
          <w:szCs w:val="32"/>
        </w:rPr>
      </w:pPr>
      <w:r>
        <w:rPr>
          <w:rFonts w:hint="eastAsia" w:eastAsia="楷体_GB2312"/>
          <w:color w:val="auto"/>
          <w:sz w:val="32"/>
          <w:szCs w:val="32"/>
        </w:rPr>
        <w:t>（202</w:t>
      </w:r>
      <w:r>
        <w:rPr>
          <w:rFonts w:hint="eastAsia" w:eastAsia="楷体_GB2312"/>
          <w:color w:val="auto"/>
          <w:sz w:val="32"/>
          <w:szCs w:val="32"/>
          <w:lang w:val="en-US" w:eastAsia="zh-CN"/>
        </w:rPr>
        <w:t>6</w:t>
      </w:r>
      <w:r>
        <w:rPr>
          <w:rFonts w:hint="eastAsia" w:eastAsia="楷体_GB2312"/>
          <w:color w:val="auto"/>
          <w:sz w:val="32"/>
          <w:szCs w:val="32"/>
        </w:rPr>
        <w:t>年版）</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1 抽样方法</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以随机抽样的方式在被抽样生产者、销售者的待销产品中抽取。</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随机数一般可使用随机数表等方法产生。</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抽样数量见表1。</w:t>
      </w:r>
    </w:p>
    <w:p>
      <w:pPr>
        <w:spacing w:line="590" w:lineRule="exact"/>
        <w:jc w:val="center"/>
        <w:textAlignment w:val="center"/>
        <w:rPr>
          <w:rFonts w:hint="eastAsia" w:ascii="仿宋_GB2312" w:hAnsi="仿宋_GB2312" w:eastAsia="仿宋_GB2312"/>
          <w:color w:val="auto"/>
          <w:sz w:val="32"/>
          <w:szCs w:val="24"/>
        </w:rPr>
      </w:pPr>
      <w:r>
        <w:rPr>
          <w:rFonts w:hint="eastAsia" w:ascii="仿宋_GB2312" w:hAnsi="仿宋_GB2312" w:eastAsia="仿宋_GB2312"/>
          <w:color w:val="auto"/>
          <w:sz w:val="32"/>
          <w:szCs w:val="24"/>
        </w:rPr>
        <w:t>表1 抽样数量</w:t>
      </w:r>
    </w:p>
    <w:tbl>
      <w:tblPr>
        <w:tblStyle w:val="8"/>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4259"/>
        <w:gridCol w:w="1417"/>
        <w:gridCol w:w="1276"/>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trPr>
        <w:tc>
          <w:tcPr>
            <w:tcW w:w="811"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序号</w:t>
            </w:r>
          </w:p>
        </w:tc>
        <w:tc>
          <w:tcPr>
            <w:tcW w:w="4259"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产品类型</w:t>
            </w:r>
          </w:p>
        </w:tc>
        <w:tc>
          <w:tcPr>
            <w:tcW w:w="1417"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抽样数量</w:t>
            </w:r>
          </w:p>
          <w:p>
            <w:pPr>
              <w:adjustRightInd w:val="0"/>
              <w:snapToGrid w:val="0"/>
              <w:spacing w:line="400" w:lineRule="exact"/>
              <w:jc w:val="center"/>
              <w:rPr>
                <w:rFonts w:eastAsia="黑体"/>
                <w:color w:val="auto"/>
                <w:sz w:val="24"/>
                <w:szCs w:val="24"/>
              </w:rPr>
            </w:pPr>
            <w:r>
              <w:rPr>
                <w:rFonts w:hint="eastAsia" w:eastAsia="黑体"/>
                <w:color w:val="auto"/>
                <w:sz w:val="24"/>
                <w:szCs w:val="24"/>
              </w:rPr>
              <w:t>（只/个）</w:t>
            </w:r>
          </w:p>
        </w:tc>
        <w:tc>
          <w:tcPr>
            <w:tcW w:w="1276"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检验样品</w:t>
            </w:r>
          </w:p>
          <w:p>
            <w:pPr>
              <w:adjustRightInd w:val="0"/>
              <w:snapToGrid w:val="0"/>
              <w:spacing w:line="400" w:lineRule="exact"/>
              <w:jc w:val="center"/>
              <w:rPr>
                <w:rFonts w:eastAsia="黑体"/>
                <w:color w:val="auto"/>
                <w:sz w:val="24"/>
                <w:szCs w:val="24"/>
              </w:rPr>
            </w:pPr>
            <w:r>
              <w:rPr>
                <w:rFonts w:hint="eastAsia" w:eastAsia="黑体"/>
                <w:color w:val="auto"/>
                <w:sz w:val="24"/>
                <w:szCs w:val="24"/>
              </w:rPr>
              <w:t>数量</w:t>
            </w:r>
          </w:p>
          <w:p>
            <w:pPr>
              <w:adjustRightInd w:val="0"/>
              <w:snapToGrid w:val="0"/>
              <w:spacing w:line="400" w:lineRule="exact"/>
              <w:jc w:val="center"/>
              <w:rPr>
                <w:rFonts w:eastAsia="黑体"/>
                <w:color w:val="auto"/>
                <w:sz w:val="24"/>
                <w:szCs w:val="24"/>
              </w:rPr>
            </w:pPr>
            <w:r>
              <w:rPr>
                <w:rFonts w:hint="eastAsia" w:eastAsia="黑体"/>
                <w:color w:val="auto"/>
                <w:sz w:val="24"/>
                <w:szCs w:val="24"/>
              </w:rPr>
              <w:t>（只/个）</w:t>
            </w:r>
          </w:p>
        </w:tc>
        <w:tc>
          <w:tcPr>
            <w:tcW w:w="1411" w:type="dxa"/>
            <w:noWrap w:val="0"/>
            <w:vAlign w:val="center"/>
          </w:tcPr>
          <w:p>
            <w:pPr>
              <w:adjustRightInd w:val="0"/>
              <w:snapToGrid w:val="0"/>
              <w:spacing w:line="400" w:lineRule="exact"/>
              <w:jc w:val="center"/>
              <w:rPr>
                <w:rFonts w:eastAsia="黑体"/>
                <w:color w:val="auto"/>
                <w:sz w:val="24"/>
                <w:szCs w:val="24"/>
              </w:rPr>
            </w:pPr>
            <w:r>
              <w:rPr>
                <w:rFonts w:hint="eastAsia" w:eastAsia="黑体"/>
                <w:color w:val="auto"/>
                <w:sz w:val="24"/>
                <w:szCs w:val="24"/>
              </w:rPr>
              <w:t>备用样品</w:t>
            </w:r>
          </w:p>
          <w:p>
            <w:pPr>
              <w:adjustRightInd w:val="0"/>
              <w:snapToGrid w:val="0"/>
              <w:spacing w:line="400" w:lineRule="exact"/>
              <w:jc w:val="center"/>
              <w:rPr>
                <w:rFonts w:eastAsia="黑体"/>
                <w:color w:val="auto"/>
                <w:sz w:val="24"/>
                <w:szCs w:val="24"/>
              </w:rPr>
            </w:pPr>
            <w:r>
              <w:rPr>
                <w:rFonts w:hint="eastAsia" w:eastAsia="黑体"/>
                <w:color w:val="auto"/>
                <w:sz w:val="24"/>
                <w:szCs w:val="24"/>
              </w:rPr>
              <w:t>数量</w:t>
            </w:r>
          </w:p>
          <w:p>
            <w:pPr>
              <w:adjustRightInd w:val="0"/>
              <w:snapToGrid w:val="0"/>
              <w:spacing w:line="400" w:lineRule="exact"/>
              <w:jc w:val="center"/>
              <w:rPr>
                <w:rFonts w:eastAsia="黑体"/>
                <w:color w:val="auto"/>
                <w:sz w:val="24"/>
                <w:szCs w:val="24"/>
              </w:rPr>
            </w:pPr>
            <w:r>
              <w:rPr>
                <w:rFonts w:hint="eastAsia" w:eastAsia="黑体"/>
                <w:color w:val="auto"/>
                <w:sz w:val="24"/>
                <w:szCs w:val="24"/>
              </w:rPr>
              <w:t>（只/个）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1" w:type="dxa"/>
            <w:vMerge w:val="restar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容量≥400mL</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1"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200mL≤容量＜400mL</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11"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容量＜200mL</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16</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811" w:type="dxa"/>
            <w:vMerge w:val="restar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接触食品面面积≥240cm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811"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120cm</w:t>
            </w:r>
            <w:r>
              <w:rPr>
                <w:rFonts w:hint="eastAsia" w:ascii="仿宋_GB2312" w:hAnsi="仿宋_GB2312" w:eastAsia="仿宋_GB2312" w:cs="仿宋_GB2312"/>
                <w:color w:val="auto"/>
                <w:sz w:val="24"/>
                <w:szCs w:val="24"/>
                <w:vertAlign w:val="superscript"/>
              </w:rPr>
              <w:t>2</w:t>
            </w:r>
            <w:r>
              <w:rPr>
                <w:rFonts w:hint="eastAsia" w:ascii="仿宋_GB2312" w:hAnsi="仿宋_GB2312" w:eastAsia="仿宋_GB2312" w:cs="仿宋_GB2312"/>
                <w:color w:val="auto"/>
                <w:sz w:val="24"/>
                <w:szCs w:val="24"/>
              </w:rPr>
              <w:t>≤接触食品面面积＜240cm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811"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60cm</w:t>
            </w:r>
            <w:r>
              <w:rPr>
                <w:rFonts w:hint="eastAsia" w:ascii="仿宋_GB2312" w:hAnsi="仿宋_GB2312" w:eastAsia="仿宋_GB2312" w:cs="仿宋_GB2312"/>
                <w:color w:val="auto"/>
                <w:sz w:val="24"/>
                <w:szCs w:val="24"/>
                <w:vertAlign w:val="superscript"/>
              </w:rPr>
              <w:t>2</w:t>
            </w:r>
            <w:r>
              <w:rPr>
                <w:rFonts w:hint="eastAsia" w:ascii="仿宋_GB2312" w:hAnsi="仿宋_GB2312" w:eastAsia="仿宋_GB2312" w:cs="仿宋_GB2312"/>
                <w:color w:val="auto"/>
                <w:sz w:val="24"/>
                <w:szCs w:val="24"/>
              </w:rPr>
              <w:t>≤接触食品面面积＜120cm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16</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811" w:type="dxa"/>
            <w:vMerge w:val="continue"/>
            <w:noWrap w:val="0"/>
            <w:vAlign w:val="center"/>
          </w:tcPr>
          <w:p>
            <w:pPr>
              <w:snapToGrid w:val="0"/>
              <w:jc w:val="center"/>
              <w:rPr>
                <w:rFonts w:hint="eastAsia" w:ascii="仿宋_GB2312" w:hAnsi="仿宋_GB2312" w:eastAsia="仿宋_GB2312" w:cs="仿宋_GB2312"/>
                <w:color w:val="auto"/>
                <w:sz w:val="24"/>
                <w:szCs w:val="24"/>
              </w:rPr>
            </w:pPr>
          </w:p>
        </w:tc>
        <w:tc>
          <w:tcPr>
            <w:tcW w:w="4259"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接触食品面面积＜60cm</w:t>
            </w:r>
            <w:r>
              <w:rPr>
                <w:rFonts w:hint="eastAsia" w:ascii="仿宋_GB2312" w:hAnsi="仿宋_GB2312" w:eastAsia="仿宋_GB2312" w:cs="仿宋_GB2312"/>
                <w:color w:val="auto"/>
                <w:sz w:val="24"/>
                <w:szCs w:val="24"/>
                <w:vertAlign w:val="superscript"/>
              </w:rPr>
              <w:t>2</w:t>
            </w:r>
          </w:p>
        </w:tc>
        <w:tc>
          <w:tcPr>
            <w:tcW w:w="1417"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74</w:t>
            </w:r>
          </w:p>
        </w:tc>
        <w:tc>
          <w:tcPr>
            <w:tcW w:w="1276"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50</w:t>
            </w:r>
          </w:p>
        </w:tc>
        <w:tc>
          <w:tcPr>
            <w:tcW w:w="1411" w:type="dxa"/>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24</w:t>
            </w:r>
          </w:p>
        </w:tc>
      </w:tr>
    </w:tbl>
    <w:p>
      <w:pPr>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w:t>
      </w:r>
    </w:p>
    <w:p>
      <w:pPr>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（1）产品抽样数量可根据样品的实际大小，在满足检验的条件下做适当调整；</w:t>
      </w:r>
    </w:p>
    <w:p>
      <w:pPr>
        <w:snapToGrid w:val="0"/>
        <w:spacing w:line="360" w:lineRule="auto"/>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（2）抽样时应注明产品类型、产品材质等信息。</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2 检验依据</w:t>
      </w:r>
    </w:p>
    <w:p>
      <w:pPr>
        <w:adjustRightInd w:val="0"/>
        <w:snapToGrid w:val="0"/>
        <w:spacing w:line="590" w:lineRule="exact"/>
        <w:jc w:val="center"/>
        <w:rPr>
          <w:rFonts w:eastAsia="仿宋_GB2312"/>
          <w:color w:val="auto"/>
          <w:sz w:val="32"/>
          <w:szCs w:val="32"/>
        </w:rPr>
      </w:pPr>
      <w:r>
        <w:rPr>
          <w:rFonts w:hint="eastAsia" w:eastAsia="仿宋_GB2312"/>
          <w:color w:val="auto"/>
          <w:sz w:val="32"/>
          <w:szCs w:val="32"/>
        </w:rPr>
        <w:t>表2 检验项目</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3214"/>
        <w:gridCol w:w="2576"/>
        <w:gridCol w:w="2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438" w:type="pct"/>
            <w:noWrap w:val="0"/>
            <w:vAlign w:val="center"/>
          </w:tcPr>
          <w:p>
            <w:pPr>
              <w:adjustRightInd w:val="0"/>
              <w:snapToGrid w:val="0"/>
              <w:spacing w:line="400" w:lineRule="exact"/>
              <w:jc w:val="center"/>
              <w:rPr>
                <w:rFonts w:eastAsia="黑体"/>
                <w:color w:val="auto"/>
                <w:sz w:val="24"/>
                <w:szCs w:val="24"/>
              </w:rPr>
            </w:pPr>
            <w:bookmarkStart w:id="1" w:name="_Hlk40347690"/>
            <w:r>
              <w:rPr>
                <w:rFonts w:hint="eastAsia" w:eastAsia="黑体"/>
                <w:color w:val="auto"/>
                <w:sz w:val="24"/>
                <w:szCs w:val="24"/>
              </w:rPr>
              <w:t>序号</w:t>
            </w:r>
          </w:p>
        </w:tc>
        <w:tc>
          <w:tcPr>
            <w:tcW w:w="1753" w:type="pct"/>
            <w:noWrap w:val="0"/>
            <w:vAlign w:val="center"/>
          </w:tcPr>
          <w:p>
            <w:pPr>
              <w:adjustRightInd w:val="0"/>
              <w:snapToGrid w:val="0"/>
              <w:spacing w:line="400" w:lineRule="exact"/>
              <w:jc w:val="center"/>
              <w:rPr>
                <w:rFonts w:hint="eastAsia" w:eastAsia="黑体"/>
                <w:color w:val="auto"/>
                <w:sz w:val="24"/>
                <w:szCs w:val="24"/>
              </w:rPr>
            </w:pPr>
            <w:r>
              <w:rPr>
                <w:rFonts w:hint="eastAsia" w:eastAsia="黑体"/>
                <w:color w:val="auto"/>
                <w:sz w:val="24"/>
                <w:szCs w:val="24"/>
              </w:rPr>
              <w:t>检验项目</w:t>
            </w:r>
          </w:p>
        </w:tc>
        <w:tc>
          <w:tcPr>
            <w:tcW w:w="1405" w:type="pct"/>
            <w:noWrap w:val="0"/>
            <w:vAlign w:val="center"/>
          </w:tcPr>
          <w:p>
            <w:pPr>
              <w:adjustRightInd w:val="0"/>
              <w:snapToGrid w:val="0"/>
              <w:spacing w:line="400" w:lineRule="exact"/>
              <w:jc w:val="center"/>
              <w:rPr>
                <w:rFonts w:hint="eastAsia" w:eastAsia="黑体"/>
                <w:color w:val="auto"/>
                <w:sz w:val="24"/>
                <w:szCs w:val="24"/>
              </w:rPr>
            </w:pPr>
            <w:r>
              <w:rPr>
                <w:rFonts w:hint="eastAsia" w:eastAsia="黑体"/>
                <w:color w:val="auto"/>
                <w:sz w:val="24"/>
                <w:szCs w:val="24"/>
              </w:rPr>
              <w:t>检验依据</w:t>
            </w:r>
          </w:p>
        </w:tc>
        <w:tc>
          <w:tcPr>
            <w:tcW w:w="1402" w:type="pct"/>
            <w:noWrap w:val="0"/>
            <w:vAlign w:val="center"/>
          </w:tcPr>
          <w:p>
            <w:pPr>
              <w:adjustRightInd w:val="0"/>
              <w:snapToGrid w:val="0"/>
              <w:spacing w:line="400" w:lineRule="exact"/>
              <w:jc w:val="center"/>
              <w:rPr>
                <w:rFonts w:hint="eastAsia" w:eastAsia="黑体"/>
                <w:color w:val="auto"/>
                <w:sz w:val="24"/>
                <w:szCs w:val="24"/>
              </w:rPr>
            </w:pPr>
            <w:r>
              <w:rPr>
                <w:rFonts w:hint="eastAsia" w:eastAsia="黑体"/>
                <w:color w:val="auto"/>
                <w:sz w:val="24"/>
                <w:szCs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bookmarkStart w:id="2" w:name="_Hlk195175219"/>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感官要求</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总迁移量</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高锰酸钾消耗量</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重金属（以Pb计）</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芳香族伯胺迁移总量</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脱色试验</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特定迁移量（以锑计）（限</w:t>
            </w:r>
            <w:bookmarkStart w:id="4" w:name="_GoBack"/>
            <w:bookmarkEnd w:id="4"/>
            <w:r>
              <w:rPr>
                <w:rFonts w:hint="eastAsia" w:ascii="仿宋_GB2312" w:hAnsi="仿宋_GB2312" w:eastAsia="仿宋_GB2312" w:cs="仿宋_GB2312"/>
                <w:color w:val="auto"/>
                <w:sz w:val="24"/>
                <w:szCs w:val="24"/>
              </w:rPr>
              <w:t>PET 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31604.41—2016</w:t>
            </w:r>
          </w:p>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GB 31604.49</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特定迁移总量（以己内酰胺计）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（限PA材质）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氯乙烯特定迁移量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（限PVC、PVDC材质）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31604.31—20</w:t>
            </w:r>
            <w:r>
              <w:rPr>
                <w:rFonts w:hint="eastAsia" w:ascii="仿宋_GB2312" w:hAnsi="仿宋_GB2312" w:eastAsia="仿宋_GB2312" w:cs="仿宋_GB2312"/>
                <w:color w:val="auto"/>
                <w:sz w:val="24"/>
                <w:szCs w:val="24"/>
                <w:lang w:val="en-US" w:eastAsia="zh-CN"/>
              </w:rPr>
              <w:t>25</w:t>
            </w:r>
            <w:r>
              <w:rPr>
                <w:rFonts w:hint="eastAsia" w:ascii="仿宋_GB2312" w:hAnsi="仿宋_GB2312" w:eastAsia="仿宋_GB2312" w:cs="仿宋_GB2312"/>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特定迁移总量（以对苯二甲酸计）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（限PET、PBT材质）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GB 31604.21—20</w:t>
            </w:r>
            <w:r>
              <w:rPr>
                <w:rFonts w:hint="eastAsia" w:ascii="仿宋_GB2312" w:hAnsi="仿宋_GB2312" w:eastAsia="仿宋_GB2312" w:cs="仿宋_GB2312"/>
                <w:color w:val="auto"/>
                <w:sz w:val="24"/>
                <w:szCs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特定迁移总量（以1,2-乙二醇计）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（限PET材质）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特定迁移总量（以1,4-丁二醇计）</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（限PBT材质）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1,3-丁二烯特定迁移量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（限有丁二烯单体的聚合物）</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bookmarkStart w:id="3" w:name="OLE_LINK1"/>
            <w:r>
              <w:rPr>
                <w:rFonts w:hint="eastAsia" w:ascii="仿宋_GB2312" w:hAnsi="仿宋_GB2312" w:eastAsia="仿宋_GB2312" w:cs="仿宋_GB2312"/>
                <w:color w:val="auto"/>
                <w:sz w:val="24"/>
              </w:rPr>
              <w:t>GB 4806.7—2023</w:t>
            </w:r>
            <w:bookmarkEnd w:id="3"/>
          </w:p>
        </w:tc>
        <w:tc>
          <w:tcPr>
            <w:tcW w:w="1402"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邻苯类增塑剂特定迁移量</w:t>
            </w:r>
          </w:p>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（限PVC材质）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9685—2016</w:t>
            </w:r>
          </w:p>
        </w:tc>
        <w:tc>
          <w:tcPr>
            <w:tcW w:w="1402" w:type="pc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双酚A特定迁移量（限PC材质）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31604.10—2016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438" w:type="pct"/>
            <w:noWrap w:val="0"/>
            <w:vAlign w:val="center"/>
          </w:tcPr>
          <w:p>
            <w:pPr>
              <w:numPr>
                <w:ilvl w:val="0"/>
                <w:numId w:val="1"/>
              </w:numPr>
              <w:adjustRightInd w:val="0"/>
              <w:snapToGrid w:val="0"/>
              <w:jc w:val="center"/>
              <w:rPr>
                <w:rFonts w:hint="eastAsia" w:ascii="仿宋_GB2312" w:hAnsi="仿宋_GB2312" w:eastAsia="仿宋_GB2312" w:cs="仿宋_GB2312"/>
                <w:color w:val="auto"/>
                <w:sz w:val="24"/>
                <w:szCs w:val="24"/>
              </w:rPr>
            </w:pPr>
          </w:p>
        </w:tc>
        <w:tc>
          <w:tcPr>
            <w:tcW w:w="1753"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苯酚特定迁移量（限PC材质）</w:t>
            </w:r>
          </w:p>
        </w:tc>
        <w:tc>
          <w:tcPr>
            <w:tcW w:w="1405" w:type="pct"/>
            <w:noWrap w:val="0"/>
            <w:vAlign w:val="center"/>
          </w:tcPr>
          <w:p>
            <w:pPr>
              <w:adjustRightInd w:val="0"/>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rPr>
              <w:t>GB 4806.7—2023</w:t>
            </w:r>
          </w:p>
        </w:tc>
        <w:tc>
          <w:tcPr>
            <w:tcW w:w="1402" w:type="pct"/>
            <w:noWrap w:val="0"/>
            <w:vAlign w:val="center"/>
          </w:tcPr>
          <w:p>
            <w:pPr>
              <w:snapToGrid w:val="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GB 31604.46—2023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5000" w:type="pct"/>
            <w:gridSpan w:val="4"/>
            <w:noWrap w:val="0"/>
            <w:vAlign w:val="center"/>
          </w:tcPr>
          <w:p>
            <w:pPr>
              <w:adjustRightInd w:val="0"/>
              <w:snapToGrid w:val="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注：1.高锰酸钾消耗量不适用于淀粉含量≥40%的淀粉基塑料材料及制品。</w:t>
            </w:r>
          </w:p>
          <w:p>
            <w:pPr>
              <w:adjustRightInd w:val="0"/>
              <w:snapToGrid w:val="0"/>
              <w:ind w:firstLine="480" w:firstLineChars="2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.脱色试验项目仅适用于添加着色剂的产品</w:t>
            </w:r>
            <w:r>
              <w:rPr>
                <w:rFonts w:hint="eastAsia" w:ascii="仿宋_GB2312" w:hAnsi="仿宋_GB2312" w:eastAsia="仿宋_GB2312" w:cs="仿宋_GB2312"/>
                <w:color w:val="auto"/>
                <w:sz w:val="24"/>
                <w:szCs w:val="24"/>
                <w:lang w:eastAsia="zh-CN"/>
              </w:rPr>
              <w:t>。</w:t>
            </w:r>
          </w:p>
        </w:tc>
      </w:tr>
      <w:bookmarkEnd w:id="2"/>
    </w:tbl>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执行企业标准、团体标准、地方标准的产品，检验项目参照上述内容执行。</w:t>
      </w:r>
    </w:p>
    <w:bookmarkEnd w:id="1"/>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3 判定规则</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3.1依据标准</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4806.7—2023 食品安全国家标准 食品接触用塑料材料及制品</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GB 9685</w:t>
      </w:r>
      <w:r>
        <w:rPr>
          <w:rFonts w:eastAsia="仿宋_GB2312"/>
          <w:color w:val="auto"/>
          <w:sz w:val="32"/>
          <w:szCs w:val="32"/>
          <w:lang w:bidi="ar"/>
        </w:rPr>
        <w:t>—</w:t>
      </w:r>
      <w:r>
        <w:rPr>
          <w:rFonts w:hint="eastAsia" w:eastAsia="仿宋_GB2312"/>
          <w:color w:val="auto"/>
          <w:sz w:val="32"/>
          <w:szCs w:val="32"/>
          <w:lang w:bidi="ar"/>
        </w:rPr>
        <w:t>2016 食品安全国家标准 食品接触材料及制品用添加剂使用标准</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3.2判定原则</w:t>
      </w:r>
    </w:p>
    <w:p>
      <w:pPr>
        <w:spacing w:line="590" w:lineRule="exact"/>
        <w:ind w:firstLine="640" w:firstLineChars="200"/>
        <w:rPr>
          <w:rFonts w:eastAsia="仿宋_GB2312"/>
          <w:color w:val="auto"/>
          <w:sz w:val="32"/>
          <w:szCs w:val="32"/>
        </w:rPr>
      </w:pPr>
      <w:r>
        <w:rPr>
          <w:rFonts w:hint="eastAsia" w:eastAsia="仿宋_GB2312"/>
          <w:color w:val="auto"/>
          <w:sz w:val="32"/>
          <w:szCs w:val="32"/>
        </w:rPr>
        <w:t>经检验，检验项目全部合格，判定为被抽查产品所检项目未发现不</w:t>
      </w:r>
      <w:r>
        <w:rPr>
          <w:rFonts w:eastAsia="仿宋_GB2312"/>
          <w:color w:val="auto"/>
          <w:sz w:val="32"/>
          <w:szCs w:val="32"/>
        </w:rPr>
        <w:t>合格</w:t>
      </w:r>
      <w:r>
        <w:rPr>
          <w:rFonts w:hint="eastAsia" w:eastAsia="仿宋_GB2312"/>
          <w:color w:val="auto"/>
          <w:sz w:val="32"/>
          <w:szCs w:val="32"/>
        </w:rPr>
        <w:t>；检验项目中任一项或一项以上不合格，判定为被抽查产品不合格。</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若被检产品明示的质量要求高于本细则中检验项目依据的标准要求时，应按被检产品明示的质量要求判定。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若被检产品明示的质量要求低于或包含本细则中检验项目依据的推荐性标准要求时，应以被检产品明示的质量要求判定。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若被检产品明示的质量要求缺少本细则中检验项目依据的强制性标准要求时，应按照强制性标准要求判定。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若被检产品明示的质量要求缺少本细则中检验项目依据的推荐性标准要求时，该项目不参与判定。</w:t>
      </w: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6DBB8A-3ADE-4AF3-9606-AF5807C3A1F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B2F5D0BC-91EE-4504-B76E-4D1EF8E724B2}"/>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3" w:fontKey="{B5E46917-751C-40C8-810F-3F8DFDF6F5D0}"/>
  </w:font>
  <w:font w:name="楷体_GB2312">
    <w:panose1 w:val="02010609030101010101"/>
    <w:charset w:val="86"/>
    <w:family w:val="modern"/>
    <w:pitch w:val="default"/>
    <w:sig w:usb0="00000001" w:usb1="080E0000" w:usb2="00000000" w:usb3="00000000" w:csb0="00040000" w:csb1="00000000"/>
    <w:embedRegular r:id="rId4" w:fontKey="{7FD911FA-EE62-43BE-9650-50F13B7A40A9}"/>
  </w:font>
  <w:font w:name="@仿宋_GB2312">
    <w:panose1 w:val="02010609030101010101"/>
    <w:charset w:val="86"/>
    <w:family w:val="auto"/>
    <w:pitch w:val="default"/>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lang w:val="zh-CN"/>
      </w:rPr>
      <w:fldChar w:fldCharType="end"/>
    </w:r>
  </w:p>
  <w:p>
    <w:pPr>
      <w:pStyle w:val="5"/>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MjkzYTE5NGRjMWQ0ZDQzYjllNDJiNzcwNjg3NGEifQ=="/>
    <w:docVar w:name="KSO_WPS_MARK_KEY" w:val="2be20ed5-970f-485b-a50a-71ff763f962f"/>
  </w:docVars>
  <w:rsids>
    <w:rsidRoot w:val="004E7F45"/>
    <w:rsid w:val="000223BA"/>
    <w:rsid w:val="00025E70"/>
    <w:rsid w:val="00026930"/>
    <w:rsid w:val="000600FC"/>
    <w:rsid w:val="00060D72"/>
    <w:rsid w:val="000612B1"/>
    <w:rsid w:val="00087DDD"/>
    <w:rsid w:val="000C39EF"/>
    <w:rsid w:val="000D0B7A"/>
    <w:rsid w:val="000D6BF4"/>
    <w:rsid w:val="000F1FC1"/>
    <w:rsid w:val="000F504B"/>
    <w:rsid w:val="001001F2"/>
    <w:rsid w:val="00111BFA"/>
    <w:rsid w:val="00126B4B"/>
    <w:rsid w:val="0013492D"/>
    <w:rsid w:val="001350A1"/>
    <w:rsid w:val="00152A5F"/>
    <w:rsid w:val="001605D7"/>
    <w:rsid w:val="00190058"/>
    <w:rsid w:val="00195AC3"/>
    <w:rsid w:val="00195EB1"/>
    <w:rsid w:val="001B6124"/>
    <w:rsid w:val="001C70FA"/>
    <w:rsid w:val="001E7D67"/>
    <w:rsid w:val="001F5300"/>
    <w:rsid w:val="00262E0C"/>
    <w:rsid w:val="00263965"/>
    <w:rsid w:val="002823DE"/>
    <w:rsid w:val="002917F2"/>
    <w:rsid w:val="00295E58"/>
    <w:rsid w:val="002961CD"/>
    <w:rsid w:val="002D2966"/>
    <w:rsid w:val="002E746B"/>
    <w:rsid w:val="003047A8"/>
    <w:rsid w:val="00323CEB"/>
    <w:rsid w:val="0033027F"/>
    <w:rsid w:val="00331A97"/>
    <w:rsid w:val="00332EA7"/>
    <w:rsid w:val="00345C28"/>
    <w:rsid w:val="00352117"/>
    <w:rsid w:val="00360E24"/>
    <w:rsid w:val="00391B32"/>
    <w:rsid w:val="003D5388"/>
    <w:rsid w:val="003F7705"/>
    <w:rsid w:val="004064D4"/>
    <w:rsid w:val="00421E58"/>
    <w:rsid w:val="0048431A"/>
    <w:rsid w:val="004959D5"/>
    <w:rsid w:val="004B3561"/>
    <w:rsid w:val="004C3953"/>
    <w:rsid w:val="004E7F45"/>
    <w:rsid w:val="004F4966"/>
    <w:rsid w:val="0051209D"/>
    <w:rsid w:val="00513A22"/>
    <w:rsid w:val="00532F8D"/>
    <w:rsid w:val="0054077C"/>
    <w:rsid w:val="00556FBD"/>
    <w:rsid w:val="00571A64"/>
    <w:rsid w:val="0057606E"/>
    <w:rsid w:val="005808C4"/>
    <w:rsid w:val="00590F96"/>
    <w:rsid w:val="005A736C"/>
    <w:rsid w:val="005C6E8E"/>
    <w:rsid w:val="005E6927"/>
    <w:rsid w:val="005F26DF"/>
    <w:rsid w:val="00606F23"/>
    <w:rsid w:val="006219F8"/>
    <w:rsid w:val="00621D4C"/>
    <w:rsid w:val="00626CB9"/>
    <w:rsid w:val="00646A2D"/>
    <w:rsid w:val="0065579C"/>
    <w:rsid w:val="00685700"/>
    <w:rsid w:val="0068760D"/>
    <w:rsid w:val="00695410"/>
    <w:rsid w:val="006C56E0"/>
    <w:rsid w:val="0070244A"/>
    <w:rsid w:val="00723797"/>
    <w:rsid w:val="0075353F"/>
    <w:rsid w:val="007844F1"/>
    <w:rsid w:val="00791A66"/>
    <w:rsid w:val="007978AC"/>
    <w:rsid w:val="007A4F3E"/>
    <w:rsid w:val="007C0F2D"/>
    <w:rsid w:val="007E6AED"/>
    <w:rsid w:val="0080120E"/>
    <w:rsid w:val="0082334C"/>
    <w:rsid w:val="0083166D"/>
    <w:rsid w:val="00862859"/>
    <w:rsid w:val="0088588D"/>
    <w:rsid w:val="008A1D26"/>
    <w:rsid w:val="008A34E5"/>
    <w:rsid w:val="008C2AA1"/>
    <w:rsid w:val="008C6157"/>
    <w:rsid w:val="008D4A5A"/>
    <w:rsid w:val="008E77CC"/>
    <w:rsid w:val="00902C4C"/>
    <w:rsid w:val="0091647C"/>
    <w:rsid w:val="00936A49"/>
    <w:rsid w:val="009371D2"/>
    <w:rsid w:val="009833AD"/>
    <w:rsid w:val="009A44F5"/>
    <w:rsid w:val="009A74F5"/>
    <w:rsid w:val="009C1B2B"/>
    <w:rsid w:val="009E73B3"/>
    <w:rsid w:val="009F1D5A"/>
    <w:rsid w:val="00A04474"/>
    <w:rsid w:val="00A24652"/>
    <w:rsid w:val="00A33CD8"/>
    <w:rsid w:val="00A34CC6"/>
    <w:rsid w:val="00A42486"/>
    <w:rsid w:val="00A635B9"/>
    <w:rsid w:val="00A87224"/>
    <w:rsid w:val="00A941B5"/>
    <w:rsid w:val="00A95981"/>
    <w:rsid w:val="00AC1FA9"/>
    <w:rsid w:val="00AD527D"/>
    <w:rsid w:val="00AE0D56"/>
    <w:rsid w:val="00AF34B8"/>
    <w:rsid w:val="00AF3B5B"/>
    <w:rsid w:val="00AF46D5"/>
    <w:rsid w:val="00B24BD0"/>
    <w:rsid w:val="00B4221B"/>
    <w:rsid w:val="00B44E4C"/>
    <w:rsid w:val="00B4666B"/>
    <w:rsid w:val="00B5232C"/>
    <w:rsid w:val="00B61C35"/>
    <w:rsid w:val="00B942CB"/>
    <w:rsid w:val="00BA4351"/>
    <w:rsid w:val="00BA4D5F"/>
    <w:rsid w:val="00BA5623"/>
    <w:rsid w:val="00BB1D93"/>
    <w:rsid w:val="00BB764E"/>
    <w:rsid w:val="00BC2935"/>
    <w:rsid w:val="00BE1502"/>
    <w:rsid w:val="00C2557D"/>
    <w:rsid w:val="00C25CB5"/>
    <w:rsid w:val="00C3154A"/>
    <w:rsid w:val="00C37F41"/>
    <w:rsid w:val="00C454DF"/>
    <w:rsid w:val="00C46825"/>
    <w:rsid w:val="00C46D74"/>
    <w:rsid w:val="00C5073E"/>
    <w:rsid w:val="00C50932"/>
    <w:rsid w:val="00C541F4"/>
    <w:rsid w:val="00C60742"/>
    <w:rsid w:val="00C77ED8"/>
    <w:rsid w:val="00C828D3"/>
    <w:rsid w:val="00C87D52"/>
    <w:rsid w:val="00CA3391"/>
    <w:rsid w:val="00CB3731"/>
    <w:rsid w:val="00CE1F69"/>
    <w:rsid w:val="00CE4FD7"/>
    <w:rsid w:val="00CE5418"/>
    <w:rsid w:val="00D10BD4"/>
    <w:rsid w:val="00D30B7E"/>
    <w:rsid w:val="00D373AD"/>
    <w:rsid w:val="00D541C8"/>
    <w:rsid w:val="00D5626E"/>
    <w:rsid w:val="00D7754D"/>
    <w:rsid w:val="00D867EF"/>
    <w:rsid w:val="00D92B63"/>
    <w:rsid w:val="00D9409B"/>
    <w:rsid w:val="00DA4552"/>
    <w:rsid w:val="00DA52B0"/>
    <w:rsid w:val="00DD42E9"/>
    <w:rsid w:val="00DF15F6"/>
    <w:rsid w:val="00DF4DCE"/>
    <w:rsid w:val="00E26257"/>
    <w:rsid w:val="00E379E2"/>
    <w:rsid w:val="00E864B9"/>
    <w:rsid w:val="00E93AD3"/>
    <w:rsid w:val="00E96ACA"/>
    <w:rsid w:val="00EB3B67"/>
    <w:rsid w:val="00EE0DA2"/>
    <w:rsid w:val="00EE1DE8"/>
    <w:rsid w:val="00EF6548"/>
    <w:rsid w:val="00F07ACA"/>
    <w:rsid w:val="00F14A6A"/>
    <w:rsid w:val="00F15254"/>
    <w:rsid w:val="00F20135"/>
    <w:rsid w:val="00F2567C"/>
    <w:rsid w:val="00F4143F"/>
    <w:rsid w:val="00F76949"/>
    <w:rsid w:val="00F85554"/>
    <w:rsid w:val="00F94DCB"/>
    <w:rsid w:val="00FD0FC5"/>
    <w:rsid w:val="00FD4675"/>
    <w:rsid w:val="00FD5CEA"/>
    <w:rsid w:val="00FF2630"/>
    <w:rsid w:val="01A131C3"/>
    <w:rsid w:val="01FB18B7"/>
    <w:rsid w:val="024B3ED5"/>
    <w:rsid w:val="024F77E7"/>
    <w:rsid w:val="032C2CC0"/>
    <w:rsid w:val="050161E5"/>
    <w:rsid w:val="05545442"/>
    <w:rsid w:val="056915AB"/>
    <w:rsid w:val="057B705B"/>
    <w:rsid w:val="07555753"/>
    <w:rsid w:val="09837BF5"/>
    <w:rsid w:val="0CA16AA5"/>
    <w:rsid w:val="0D5E33E4"/>
    <w:rsid w:val="0E2F3A82"/>
    <w:rsid w:val="109951E3"/>
    <w:rsid w:val="10E96DCA"/>
    <w:rsid w:val="11A97B1A"/>
    <w:rsid w:val="12EE04EB"/>
    <w:rsid w:val="142E2B41"/>
    <w:rsid w:val="146050F4"/>
    <w:rsid w:val="15097FDB"/>
    <w:rsid w:val="150E1C7B"/>
    <w:rsid w:val="15326481"/>
    <w:rsid w:val="15861A43"/>
    <w:rsid w:val="15F1076B"/>
    <w:rsid w:val="16A05B48"/>
    <w:rsid w:val="1777294A"/>
    <w:rsid w:val="1842745A"/>
    <w:rsid w:val="188E1215"/>
    <w:rsid w:val="18B11774"/>
    <w:rsid w:val="1A9221AF"/>
    <w:rsid w:val="1BDD60C2"/>
    <w:rsid w:val="1C0559C8"/>
    <w:rsid w:val="1DCA3D55"/>
    <w:rsid w:val="1E1060D3"/>
    <w:rsid w:val="1E3265FA"/>
    <w:rsid w:val="1FE932D4"/>
    <w:rsid w:val="1FF041AE"/>
    <w:rsid w:val="1FFE717E"/>
    <w:rsid w:val="20055C73"/>
    <w:rsid w:val="20076CF3"/>
    <w:rsid w:val="201C0001"/>
    <w:rsid w:val="204E7819"/>
    <w:rsid w:val="20A372F0"/>
    <w:rsid w:val="20CB4BB3"/>
    <w:rsid w:val="213E16CC"/>
    <w:rsid w:val="216E446A"/>
    <w:rsid w:val="216F55CD"/>
    <w:rsid w:val="21704D32"/>
    <w:rsid w:val="21F07040"/>
    <w:rsid w:val="21F95906"/>
    <w:rsid w:val="22902033"/>
    <w:rsid w:val="22F14622"/>
    <w:rsid w:val="23637B75"/>
    <w:rsid w:val="23997488"/>
    <w:rsid w:val="24744770"/>
    <w:rsid w:val="249267E9"/>
    <w:rsid w:val="275C006B"/>
    <w:rsid w:val="276B0F6B"/>
    <w:rsid w:val="27791D6B"/>
    <w:rsid w:val="27B619BA"/>
    <w:rsid w:val="285C050E"/>
    <w:rsid w:val="29370BA0"/>
    <w:rsid w:val="2A9653EA"/>
    <w:rsid w:val="2AF0519A"/>
    <w:rsid w:val="2B3505C9"/>
    <w:rsid w:val="2B44120E"/>
    <w:rsid w:val="2B7251A1"/>
    <w:rsid w:val="2D0F3610"/>
    <w:rsid w:val="2DAF6AA4"/>
    <w:rsid w:val="2DF16206"/>
    <w:rsid w:val="2E447434"/>
    <w:rsid w:val="2EC102CF"/>
    <w:rsid w:val="2F7470F0"/>
    <w:rsid w:val="2FF81244"/>
    <w:rsid w:val="308630DB"/>
    <w:rsid w:val="310877D6"/>
    <w:rsid w:val="31996818"/>
    <w:rsid w:val="322F25BC"/>
    <w:rsid w:val="323E5792"/>
    <w:rsid w:val="3282567F"/>
    <w:rsid w:val="32AF1344"/>
    <w:rsid w:val="33116D15"/>
    <w:rsid w:val="33356B95"/>
    <w:rsid w:val="337C71E2"/>
    <w:rsid w:val="33ED6206"/>
    <w:rsid w:val="345E6417"/>
    <w:rsid w:val="348A3282"/>
    <w:rsid w:val="349C2386"/>
    <w:rsid w:val="35310C1F"/>
    <w:rsid w:val="35635C3C"/>
    <w:rsid w:val="35D82F96"/>
    <w:rsid w:val="3601309E"/>
    <w:rsid w:val="36393E81"/>
    <w:rsid w:val="373778B4"/>
    <w:rsid w:val="379D2C7F"/>
    <w:rsid w:val="37A458DA"/>
    <w:rsid w:val="37BF7E86"/>
    <w:rsid w:val="37CF580A"/>
    <w:rsid w:val="384E752E"/>
    <w:rsid w:val="38675A43"/>
    <w:rsid w:val="39135CA7"/>
    <w:rsid w:val="394C6EB2"/>
    <w:rsid w:val="3A774A34"/>
    <w:rsid w:val="3AE96DA9"/>
    <w:rsid w:val="3B8033E5"/>
    <w:rsid w:val="3BA50630"/>
    <w:rsid w:val="3BFA02F7"/>
    <w:rsid w:val="3C7D414C"/>
    <w:rsid w:val="3CC309AB"/>
    <w:rsid w:val="3CE358B4"/>
    <w:rsid w:val="3DB35F16"/>
    <w:rsid w:val="3E780D76"/>
    <w:rsid w:val="40737215"/>
    <w:rsid w:val="40F85902"/>
    <w:rsid w:val="42AA28AA"/>
    <w:rsid w:val="43F37E46"/>
    <w:rsid w:val="44123AED"/>
    <w:rsid w:val="44C85855"/>
    <w:rsid w:val="45000F8C"/>
    <w:rsid w:val="45697947"/>
    <w:rsid w:val="457D13A1"/>
    <w:rsid w:val="4759345D"/>
    <w:rsid w:val="47DD19DA"/>
    <w:rsid w:val="48CD242C"/>
    <w:rsid w:val="493279A7"/>
    <w:rsid w:val="496B0759"/>
    <w:rsid w:val="4A195FDD"/>
    <w:rsid w:val="4A6B0188"/>
    <w:rsid w:val="4ABB1D38"/>
    <w:rsid w:val="4C1D7892"/>
    <w:rsid w:val="4D5E548A"/>
    <w:rsid w:val="4E3917D8"/>
    <w:rsid w:val="4EB67BBA"/>
    <w:rsid w:val="4EF318AC"/>
    <w:rsid w:val="4F4E2679"/>
    <w:rsid w:val="50225853"/>
    <w:rsid w:val="50D864D3"/>
    <w:rsid w:val="51086967"/>
    <w:rsid w:val="513F2C99"/>
    <w:rsid w:val="516E4782"/>
    <w:rsid w:val="52F952BE"/>
    <w:rsid w:val="53243C8C"/>
    <w:rsid w:val="534A24ED"/>
    <w:rsid w:val="53AF4999"/>
    <w:rsid w:val="55675746"/>
    <w:rsid w:val="556E394C"/>
    <w:rsid w:val="55797C08"/>
    <w:rsid w:val="55FB3E22"/>
    <w:rsid w:val="564E1B99"/>
    <w:rsid w:val="577A3198"/>
    <w:rsid w:val="587A4EC7"/>
    <w:rsid w:val="59F561A9"/>
    <w:rsid w:val="5A6F5206"/>
    <w:rsid w:val="5DAE5A52"/>
    <w:rsid w:val="5E0D0BDF"/>
    <w:rsid w:val="5E854C0C"/>
    <w:rsid w:val="5F253730"/>
    <w:rsid w:val="5F5D78DC"/>
    <w:rsid w:val="600559A3"/>
    <w:rsid w:val="601F0EAE"/>
    <w:rsid w:val="602E7188"/>
    <w:rsid w:val="620675AB"/>
    <w:rsid w:val="622B13D1"/>
    <w:rsid w:val="62A13A6D"/>
    <w:rsid w:val="62AC7955"/>
    <w:rsid w:val="63265A48"/>
    <w:rsid w:val="63490652"/>
    <w:rsid w:val="63617CF1"/>
    <w:rsid w:val="64A86918"/>
    <w:rsid w:val="650E0CE2"/>
    <w:rsid w:val="65CD15D6"/>
    <w:rsid w:val="68F93880"/>
    <w:rsid w:val="69112CDD"/>
    <w:rsid w:val="6951565F"/>
    <w:rsid w:val="69552DD1"/>
    <w:rsid w:val="69CB6804"/>
    <w:rsid w:val="6BE256D4"/>
    <w:rsid w:val="6C15171F"/>
    <w:rsid w:val="6D043B58"/>
    <w:rsid w:val="6E083216"/>
    <w:rsid w:val="6E342423"/>
    <w:rsid w:val="6E8A7348"/>
    <w:rsid w:val="6E9256FE"/>
    <w:rsid w:val="6EA70D04"/>
    <w:rsid w:val="6EC5277F"/>
    <w:rsid w:val="6F2B5042"/>
    <w:rsid w:val="6F5A2F04"/>
    <w:rsid w:val="70BF72D5"/>
    <w:rsid w:val="711A28E5"/>
    <w:rsid w:val="71482881"/>
    <w:rsid w:val="71D2493E"/>
    <w:rsid w:val="71DB227A"/>
    <w:rsid w:val="723122EE"/>
    <w:rsid w:val="725B6335"/>
    <w:rsid w:val="72794FA7"/>
    <w:rsid w:val="728824A2"/>
    <w:rsid w:val="730C2F2A"/>
    <w:rsid w:val="739B5F35"/>
    <w:rsid w:val="741A20CB"/>
    <w:rsid w:val="75762924"/>
    <w:rsid w:val="75FC38B9"/>
    <w:rsid w:val="768A5494"/>
    <w:rsid w:val="77274014"/>
    <w:rsid w:val="77854E73"/>
    <w:rsid w:val="797E31CB"/>
    <w:rsid w:val="7A277A18"/>
    <w:rsid w:val="7A9A1A11"/>
    <w:rsid w:val="7B9157EC"/>
    <w:rsid w:val="7BB578CB"/>
    <w:rsid w:val="7C3D28A5"/>
    <w:rsid w:val="7C5B0643"/>
    <w:rsid w:val="7E071097"/>
    <w:rsid w:val="7E463F5C"/>
    <w:rsid w:val="7E611631"/>
    <w:rsid w:val="7E6B05F1"/>
    <w:rsid w:val="7E6B3D8A"/>
    <w:rsid w:val="7F66699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0"/>
    <w:rPr>
      <w:sz w:val="21"/>
      <w:szCs w:val="21"/>
    </w:rPr>
  </w:style>
  <w:style w:type="character" w:customStyle="1" w:styleId="12">
    <w:name w:val="批注文字 Char"/>
    <w:link w:val="2"/>
    <w:qFormat/>
    <w:uiPriority w:val="99"/>
    <w:rPr>
      <w:kern w:val="2"/>
      <w:sz w:val="21"/>
      <w:szCs w:val="22"/>
    </w:rPr>
  </w:style>
  <w:style w:type="character" w:customStyle="1" w:styleId="13">
    <w:name w:val="批注框文本 Char"/>
    <w:link w:val="4"/>
    <w:qFormat/>
    <w:uiPriority w:val="0"/>
    <w:rPr>
      <w:kern w:val="2"/>
      <w:sz w:val="18"/>
      <w:szCs w:val="18"/>
    </w:rPr>
  </w:style>
  <w:style w:type="character" w:customStyle="1" w:styleId="14">
    <w:name w:val="批注主题 Char"/>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修订2"/>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327</Words>
  <Characters>1868</Characters>
  <Lines>15</Lines>
  <Paragraphs>4</Paragraphs>
  <TotalTime>1</TotalTime>
  <ScaleCrop>false</ScaleCrop>
  <LinksUpToDate>false</LinksUpToDate>
  <CharactersWithSpaces>2191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2025-06-18T02:16:00Z</dcterms:created>
  <dc:creator>zhiji</dc:creator>
  <cp:lastModifiedBy>JYHG</cp:lastModifiedBy>
  <cp:lastPrinted>2024-03-01T06:25:00Z</cp:lastPrinted>
  <dcterms:modified xsi:type="dcterms:W3CDTF">2026-04-09T08:32:18Z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CCCA3C85FBD04F34800390FB3C4A83EC</vt:lpwstr>
  </property>
  <property fmtid="{D5CDD505-2E9C-101B-9397-08002B2CF9AE}" pid="4" name="KSOTemplateDocerSaveRecord">
    <vt:lpwstr>eyJoZGlkIjoiYTI1ZmQzZjNkMWIyZWQ2NTg0MDA4YjEwNjdjNDIyYzUiLCJ1c2VySWQiOiIyNjY2MjkwNzMifQ==</vt:lpwstr>
  </property>
</Properties>
</file>