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90" w:lineRule="exact"/>
        <w:jc w:val="center"/>
        <w:rPr>
          <w:rFonts w:hint="eastAsia" w:eastAsia="方正小标宋简体"/>
          <w:color w:val="auto"/>
          <w:sz w:val="44"/>
          <w:szCs w:val="44"/>
        </w:rPr>
      </w:pPr>
      <w:r>
        <w:rPr>
          <w:rFonts w:hint="eastAsia" w:eastAsia="方正小标宋简体"/>
          <w:color w:val="auto"/>
          <w:sz w:val="44"/>
          <w:szCs w:val="44"/>
        </w:rPr>
        <w:t>东莞市食品（月饼、茶叶）包装产品质量</w:t>
      </w:r>
    </w:p>
    <w:p>
      <w:pPr>
        <w:adjustRightInd w:val="0"/>
        <w:snapToGrid w:val="0"/>
        <w:spacing w:line="590" w:lineRule="exact"/>
        <w:jc w:val="center"/>
        <w:rPr>
          <w:rFonts w:hint="eastAsia" w:eastAsia="方正小标宋简体"/>
          <w:color w:val="auto"/>
          <w:sz w:val="44"/>
          <w:szCs w:val="44"/>
        </w:rPr>
      </w:pPr>
      <w:r>
        <w:rPr>
          <w:rFonts w:hint="eastAsia" w:eastAsia="方正小标宋简体"/>
          <w:color w:val="auto"/>
          <w:sz w:val="44"/>
          <w:szCs w:val="44"/>
        </w:rPr>
        <w:t>监督抽查实施细则</w:t>
      </w:r>
    </w:p>
    <w:p>
      <w:pPr>
        <w:adjustRightInd w:val="0"/>
        <w:snapToGrid w:val="0"/>
        <w:spacing w:line="590" w:lineRule="exact"/>
        <w:jc w:val="center"/>
        <w:rPr>
          <w:rFonts w:hint="eastAsia" w:eastAsia="楷体_GB2312"/>
          <w:color w:val="auto"/>
          <w:sz w:val="32"/>
          <w:szCs w:val="32"/>
        </w:rPr>
      </w:pPr>
      <w:r>
        <w:rPr>
          <w:rFonts w:hint="eastAsia" w:eastAsia="楷体_GB2312"/>
          <w:color w:val="auto"/>
          <w:sz w:val="32"/>
          <w:szCs w:val="32"/>
        </w:rPr>
        <w:t>（202</w:t>
      </w:r>
      <w:r>
        <w:rPr>
          <w:rFonts w:hint="eastAsia" w:eastAsia="楷体_GB2312"/>
          <w:color w:val="auto"/>
          <w:sz w:val="32"/>
          <w:szCs w:val="32"/>
          <w:lang w:val="en-US" w:eastAsia="zh-CN"/>
        </w:rPr>
        <w:t>6</w:t>
      </w:r>
      <w:r>
        <w:rPr>
          <w:rFonts w:hint="eastAsia" w:eastAsia="楷体_GB2312"/>
          <w:color w:val="auto"/>
          <w:sz w:val="32"/>
          <w:szCs w:val="32"/>
        </w:rPr>
        <w:t>年版）</w:t>
      </w:r>
    </w:p>
    <w:p>
      <w:pPr>
        <w:snapToGrid w:val="0"/>
        <w:spacing w:line="590" w:lineRule="exact"/>
        <w:ind w:firstLine="640" w:firstLineChars="200"/>
        <w:rPr>
          <w:rFonts w:hint="eastAsia" w:eastAsia="黑体"/>
          <w:color w:val="auto"/>
          <w:sz w:val="32"/>
          <w:szCs w:val="32"/>
        </w:rPr>
      </w:pPr>
      <w:r>
        <w:rPr>
          <w:rFonts w:hint="eastAsia" w:eastAsia="黑体"/>
          <w:color w:val="auto"/>
          <w:sz w:val="32"/>
          <w:szCs w:val="32"/>
        </w:rPr>
        <w:t>1 抽样方法</w:t>
      </w:r>
    </w:p>
    <w:p>
      <w:pPr>
        <w:adjustRightInd w:val="0"/>
        <w:snapToGrid w:val="0"/>
        <w:spacing w:line="590" w:lineRule="exact"/>
        <w:ind w:firstLine="640" w:firstLineChars="200"/>
        <w:rPr>
          <w:rFonts w:hint="eastAsia" w:eastAsia="仿宋_GB2312"/>
          <w:color w:val="auto"/>
          <w:sz w:val="32"/>
          <w:szCs w:val="32"/>
        </w:rPr>
      </w:pPr>
      <w:r>
        <w:rPr>
          <w:rFonts w:hint="eastAsia" w:eastAsia="仿宋_GB2312"/>
          <w:color w:val="auto"/>
          <w:sz w:val="32"/>
          <w:szCs w:val="32"/>
        </w:rPr>
        <w:t>以随机抽样的方式在被抽样生产者、销售者的待销产品中抽取。</w:t>
      </w:r>
    </w:p>
    <w:p>
      <w:pPr>
        <w:adjustRightInd w:val="0"/>
        <w:snapToGrid w:val="0"/>
        <w:spacing w:line="590" w:lineRule="exact"/>
        <w:ind w:firstLine="640" w:firstLineChars="200"/>
        <w:rPr>
          <w:rFonts w:hint="eastAsia" w:eastAsia="仿宋_GB2312"/>
          <w:color w:val="auto"/>
          <w:sz w:val="32"/>
          <w:szCs w:val="32"/>
        </w:rPr>
      </w:pPr>
      <w:r>
        <w:rPr>
          <w:rFonts w:hint="eastAsia" w:eastAsia="仿宋_GB2312"/>
          <w:color w:val="auto"/>
          <w:sz w:val="32"/>
          <w:szCs w:val="32"/>
        </w:rPr>
        <w:t>随机数一般可使用随机数表等方法产生。</w:t>
      </w:r>
    </w:p>
    <w:p>
      <w:pPr>
        <w:adjustRightInd w:val="0"/>
        <w:snapToGrid w:val="0"/>
        <w:spacing w:line="590" w:lineRule="exact"/>
        <w:ind w:firstLine="640" w:firstLineChars="200"/>
        <w:rPr>
          <w:rFonts w:hint="eastAsia" w:eastAsia="仿宋_GB2312"/>
          <w:color w:val="auto"/>
          <w:sz w:val="32"/>
          <w:szCs w:val="32"/>
        </w:rPr>
      </w:pPr>
      <w:r>
        <w:rPr>
          <w:rFonts w:hint="eastAsia" w:eastAsia="仿宋_GB2312"/>
          <w:color w:val="auto"/>
          <w:sz w:val="32"/>
          <w:szCs w:val="32"/>
        </w:rPr>
        <w:t>抽样数量见表1。</w:t>
      </w:r>
    </w:p>
    <w:p>
      <w:pPr>
        <w:spacing w:line="590" w:lineRule="exact"/>
        <w:jc w:val="center"/>
        <w:textAlignment w:val="center"/>
        <w:rPr>
          <w:rFonts w:hint="eastAsia" w:ascii="仿宋_GB2312" w:hAnsi="仿宋_GB2312" w:eastAsia="仿宋_GB2312"/>
          <w:color w:val="auto"/>
          <w:sz w:val="32"/>
        </w:rPr>
      </w:pPr>
      <w:r>
        <w:rPr>
          <w:rFonts w:hint="eastAsia" w:ascii="仿宋_GB2312" w:hAnsi="仿宋_GB2312" w:eastAsia="仿宋_GB2312"/>
          <w:color w:val="auto"/>
          <w:sz w:val="32"/>
        </w:rPr>
        <w:t>表1 抽样数量</w:t>
      </w:r>
    </w:p>
    <w:tbl>
      <w:tblPr>
        <w:tblStyle w:val="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7"/>
        <w:gridCol w:w="1878"/>
        <w:gridCol w:w="3171"/>
        <w:gridCol w:w="1672"/>
        <w:gridCol w:w="1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top"/>
          </w:tcPr>
          <w:p>
            <w:pPr>
              <w:adjustRightInd w:val="0"/>
              <w:snapToGrid w:val="0"/>
              <w:spacing w:line="400" w:lineRule="exact"/>
              <w:jc w:val="center"/>
              <w:rPr>
                <w:rFonts w:hint="eastAsia" w:eastAsia="黑体"/>
                <w:color w:val="auto"/>
                <w:sz w:val="24"/>
              </w:rPr>
            </w:pPr>
            <w:bookmarkStart w:id="0" w:name="OLE_LINK26"/>
            <w:r>
              <w:rPr>
                <w:rFonts w:hint="eastAsia" w:eastAsia="黑体"/>
                <w:color w:val="auto"/>
                <w:sz w:val="24"/>
              </w:rPr>
              <w:t>序号</w:t>
            </w:r>
          </w:p>
        </w:tc>
        <w:tc>
          <w:tcPr>
            <w:tcW w:w="1024" w:type="pct"/>
            <w:noWrap w:val="0"/>
            <w:vAlign w:val="top"/>
          </w:tcPr>
          <w:p>
            <w:pPr>
              <w:adjustRightInd w:val="0"/>
              <w:snapToGrid w:val="0"/>
              <w:spacing w:line="400" w:lineRule="exact"/>
              <w:jc w:val="center"/>
              <w:rPr>
                <w:rFonts w:hint="eastAsia" w:eastAsia="黑体"/>
                <w:color w:val="auto"/>
                <w:sz w:val="24"/>
              </w:rPr>
            </w:pPr>
            <w:r>
              <w:rPr>
                <w:rFonts w:hint="eastAsia" w:eastAsia="黑体"/>
                <w:color w:val="auto"/>
                <w:sz w:val="24"/>
              </w:rPr>
              <w:t>产品种类</w:t>
            </w:r>
          </w:p>
        </w:tc>
        <w:tc>
          <w:tcPr>
            <w:tcW w:w="1728" w:type="pct"/>
            <w:noWrap w:val="0"/>
            <w:vAlign w:val="top"/>
          </w:tcPr>
          <w:p>
            <w:pPr>
              <w:adjustRightInd w:val="0"/>
              <w:snapToGrid w:val="0"/>
              <w:spacing w:line="400" w:lineRule="exact"/>
              <w:jc w:val="center"/>
              <w:rPr>
                <w:rFonts w:eastAsia="黑体"/>
                <w:color w:val="auto"/>
                <w:sz w:val="24"/>
              </w:rPr>
            </w:pPr>
            <w:r>
              <w:rPr>
                <w:rFonts w:hint="eastAsia" w:eastAsia="黑体"/>
                <w:color w:val="auto"/>
                <w:sz w:val="24"/>
              </w:rPr>
              <w:t>抽样数量</w:t>
            </w:r>
          </w:p>
        </w:tc>
        <w:tc>
          <w:tcPr>
            <w:tcW w:w="911" w:type="pct"/>
            <w:noWrap w:val="0"/>
            <w:vAlign w:val="top"/>
          </w:tcPr>
          <w:p>
            <w:pPr>
              <w:adjustRightInd w:val="0"/>
              <w:snapToGrid w:val="0"/>
              <w:spacing w:line="400" w:lineRule="exact"/>
              <w:jc w:val="center"/>
              <w:rPr>
                <w:rFonts w:eastAsia="黑体"/>
                <w:color w:val="auto"/>
                <w:sz w:val="24"/>
              </w:rPr>
            </w:pPr>
            <w:r>
              <w:rPr>
                <w:rFonts w:hint="eastAsia" w:eastAsia="黑体"/>
                <w:color w:val="auto"/>
                <w:sz w:val="24"/>
              </w:rPr>
              <w:t>检验样品数量</w:t>
            </w:r>
          </w:p>
        </w:tc>
        <w:tc>
          <w:tcPr>
            <w:tcW w:w="911" w:type="pct"/>
            <w:noWrap w:val="0"/>
            <w:vAlign w:val="top"/>
          </w:tcPr>
          <w:p>
            <w:pPr>
              <w:adjustRightInd w:val="0"/>
              <w:snapToGrid w:val="0"/>
              <w:spacing w:line="400" w:lineRule="exact"/>
              <w:jc w:val="center"/>
              <w:rPr>
                <w:rFonts w:eastAsia="黑体"/>
                <w:color w:val="auto"/>
                <w:sz w:val="24"/>
              </w:rPr>
            </w:pPr>
            <w:r>
              <w:rPr>
                <w:rFonts w:hint="eastAsia" w:eastAsia="黑体"/>
                <w:color w:val="auto"/>
                <w:sz w:val="24"/>
              </w:rPr>
              <w:t>备用样品数量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w:t>
            </w:r>
          </w:p>
        </w:tc>
        <w:tc>
          <w:tcPr>
            <w:tcW w:w="10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塑料膜</w:t>
            </w:r>
          </w:p>
        </w:tc>
        <w:tc>
          <w:tcPr>
            <w:tcW w:w="1728"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3份（每份2.5m</w:t>
            </w:r>
            <w:r>
              <w:rPr>
                <w:rFonts w:hint="eastAsia" w:ascii="仿宋_GB2312" w:hAnsi="仿宋_GB2312" w:eastAsia="仿宋_GB2312" w:cs="仿宋_GB2312"/>
                <w:color w:val="auto"/>
                <w:sz w:val="24"/>
                <w:vertAlign w:val="superscript"/>
              </w:rPr>
              <w:t>2</w:t>
            </w:r>
            <w:r>
              <w:rPr>
                <w:rFonts w:hint="eastAsia" w:ascii="仿宋_GB2312" w:hAnsi="仿宋_GB2312" w:eastAsia="仿宋_GB2312" w:cs="仿宋_GB2312"/>
                <w:color w:val="auto"/>
                <w:sz w:val="24"/>
              </w:rPr>
              <w:t>×3）</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2份</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center"/>
          </w:tcPr>
          <w:p>
            <w:pPr>
              <w:snapToGrid w:val="0"/>
              <w:spacing w:line="440" w:lineRule="exact"/>
              <w:jc w:val="center"/>
              <w:rPr>
                <w:rFonts w:hint="eastAsia" w:ascii="仿宋_GB2312" w:hAnsi="仿宋_GB2312" w:eastAsia="仿宋_GB2312" w:cs="仿宋_GB2312"/>
                <w:color w:val="auto"/>
                <w:sz w:val="24"/>
              </w:rPr>
            </w:pPr>
            <w:bookmarkStart w:id="1" w:name="OLE_LINK25" w:colFirst="3" w:colLast="5"/>
            <w:r>
              <w:rPr>
                <w:rFonts w:hint="eastAsia" w:ascii="仿宋_GB2312" w:hAnsi="仿宋_GB2312" w:eastAsia="仿宋_GB2312" w:cs="仿宋_GB2312"/>
                <w:color w:val="auto"/>
                <w:sz w:val="24"/>
              </w:rPr>
              <w:t>2</w:t>
            </w:r>
          </w:p>
        </w:tc>
        <w:tc>
          <w:tcPr>
            <w:tcW w:w="1024" w:type="pct"/>
            <w:noWrap w:val="0"/>
            <w:vAlign w:val="center"/>
          </w:tcPr>
          <w:p>
            <w:pPr>
              <w:snapToGrid w:val="0"/>
              <w:spacing w:line="440" w:lineRule="exact"/>
              <w:jc w:val="center"/>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rPr>
              <w:t>塑料袋、塑料托</w:t>
            </w:r>
            <w:r>
              <w:rPr>
                <w:rFonts w:hint="eastAsia" w:ascii="仿宋_GB2312" w:hAnsi="仿宋_GB2312" w:eastAsia="仿宋_GB2312" w:cs="仿宋_GB2312"/>
                <w:color w:val="auto"/>
                <w:sz w:val="24"/>
                <w:lang w:eastAsia="zh-CN"/>
              </w:rPr>
              <w:t>等</w:t>
            </w:r>
          </w:p>
        </w:tc>
        <w:tc>
          <w:tcPr>
            <w:tcW w:w="1728" w:type="pct"/>
            <w:noWrap w:val="0"/>
            <w:vAlign w:val="center"/>
          </w:tcPr>
          <w:p>
            <w:pPr>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3份（每份30个，袋规格应不小于15cm×15cm）</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2份</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1份</w:t>
            </w:r>
          </w:p>
        </w:tc>
      </w:tr>
      <w:bookmarkEnd w:id="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w:t>
            </w:r>
          </w:p>
        </w:tc>
        <w:tc>
          <w:tcPr>
            <w:tcW w:w="10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纸张产品</w:t>
            </w:r>
          </w:p>
        </w:tc>
        <w:tc>
          <w:tcPr>
            <w:tcW w:w="1728"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3份（每份50张）</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2份</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4</w:t>
            </w:r>
          </w:p>
        </w:tc>
        <w:tc>
          <w:tcPr>
            <w:tcW w:w="10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纸袋产品</w:t>
            </w:r>
          </w:p>
        </w:tc>
        <w:tc>
          <w:tcPr>
            <w:tcW w:w="1728" w:type="pct"/>
            <w:noWrap w:val="0"/>
            <w:vAlign w:val="center"/>
          </w:tcPr>
          <w:p>
            <w:pPr>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3份（每份20个，</w:t>
            </w:r>
            <w:r>
              <w:rPr>
                <w:rFonts w:hint="eastAsia" w:ascii="仿宋_GB2312" w:hAnsi="仿宋_GB2312" w:eastAsia="仿宋_GB2312" w:cs="仿宋_GB2312"/>
                <w:color w:val="auto"/>
                <w:kern w:val="0"/>
                <w:sz w:val="24"/>
              </w:rPr>
              <w:t>若样品过小、过大时，应调整抽样量满足总质量不少于0.25kg，不多于3kg，检验、备样按比例：2:1抽取</w:t>
            </w:r>
            <w:r>
              <w:rPr>
                <w:rFonts w:hint="eastAsia" w:ascii="仿宋_GB2312" w:hAnsi="仿宋_GB2312" w:eastAsia="仿宋_GB2312" w:cs="仿宋_GB2312"/>
                <w:color w:val="auto"/>
                <w:sz w:val="24"/>
              </w:rPr>
              <w:t>）</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2份</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5</w:t>
            </w:r>
          </w:p>
        </w:tc>
        <w:tc>
          <w:tcPr>
            <w:tcW w:w="10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金属罐产品（有涂层）</w:t>
            </w:r>
          </w:p>
        </w:tc>
        <w:tc>
          <w:tcPr>
            <w:tcW w:w="1728" w:type="pct"/>
            <w:noWrap w:val="0"/>
            <w:vAlign w:val="center"/>
          </w:tcPr>
          <w:p>
            <w:pPr>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25个</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15个</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10个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6</w:t>
            </w:r>
          </w:p>
        </w:tc>
        <w:tc>
          <w:tcPr>
            <w:tcW w:w="1024"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金属罐产品（无涂层）</w:t>
            </w:r>
          </w:p>
        </w:tc>
        <w:tc>
          <w:tcPr>
            <w:tcW w:w="1728" w:type="pct"/>
            <w:noWrap w:val="0"/>
            <w:vAlign w:val="center"/>
          </w:tcPr>
          <w:p>
            <w:pPr>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10个</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6个</w:t>
            </w:r>
          </w:p>
        </w:tc>
        <w:tc>
          <w:tcPr>
            <w:tcW w:w="911" w:type="pct"/>
            <w:noWrap w:val="0"/>
            <w:vAlign w:val="center"/>
          </w:tcPr>
          <w:p>
            <w:pPr>
              <w:snapToGrid w:val="0"/>
              <w:spacing w:line="44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4个</w:t>
            </w:r>
          </w:p>
        </w:tc>
      </w:tr>
      <w:bookmarkEnd w:id="0"/>
    </w:tbl>
    <w:p>
      <w:pPr>
        <w:autoSpaceDE w:val="0"/>
        <w:autoSpaceDN w:val="0"/>
        <w:adjustRightInd w:val="0"/>
        <w:spacing w:line="590" w:lineRule="exact"/>
        <w:ind w:firstLine="640" w:firstLineChars="200"/>
        <w:rPr>
          <w:rFonts w:hint="eastAsia" w:eastAsia="仿宋_GB2312"/>
          <w:color w:val="auto"/>
          <w:sz w:val="32"/>
          <w:szCs w:val="32"/>
        </w:rPr>
      </w:pPr>
      <w:r>
        <w:rPr>
          <w:rFonts w:hint="eastAsia" w:eastAsia="仿宋_GB2312"/>
          <w:color w:val="auto"/>
          <w:sz w:val="32"/>
          <w:szCs w:val="32"/>
        </w:rPr>
        <w:t>以上所抽取同类样品保证同一批次，同一规格型号。</w:t>
      </w:r>
    </w:p>
    <w:p>
      <w:pPr>
        <w:autoSpaceDE w:val="0"/>
        <w:autoSpaceDN w:val="0"/>
        <w:adjustRightInd w:val="0"/>
        <w:spacing w:line="590" w:lineRule="exact"/>
        <w:ind w:firstLine="640" w:firstLineChars="200"/>
        <w:rPr>
          <w:rFonts w:hint="eastAsia" w:cs="宋体"/>
          <w:color w:val="auto"/>
          <w:szCs w:val="21"/>
        </w:rPr>
      </w:pPr>
      <w:r>
        <w:rPr>
          <w:rFonts w:hint="eastAsia" w:eastAsia="仿宋_GB2312"/>
          <w:color w:val="auto"/>
          <w:sz w:val="32"/>
          <w:szCs w:val="32"/>
        </w:rPr>
        <w:t>除以上抽样要求外，在月饼/茶</w:t>
      </w:r>
      <w:bookmarkStart w:id="18" w:name="_GoBack"/>
      <w:r>
        <w:rPr>
          <w:rFonts w:hint="eastAsia" w:eastAsia="仿宋_GB2312"/>
          <w:color w:val="auto"/>
          <w:sz w:val="32"/>
          <w:szCs w:val="32"/>
        </w:rPr>
        <w:t>叶生产者待销成品、销售者待销产品</w:t>
      </w:r>
      <w:r>
        <w:rPr>
          <w:rFonts w:hint="eastAsia" w:eastAsia="仿宋_GB2312"/>
          <w:color w:val="auto"/>
          <w:sz w:val="32"/>
          <w:szCs w:val="32"/>
          <w:lang w:val="en-US" w:eastAsia="zh-CN"/>
        </w:rPr>
        <w:t>中</w:t>
      </w:r>
      <w:r>
        <w:rPr>
          <w:rFonts w:hint="eastAsia" w:eastAsia="仿宋_GB2312"/>
          <w:color w:val="auto"/>
          <w:sz w:val="32"/>
          <w:szCs w:val="32"/>
        </w:rPr>
        <w:t>抽</w:t>
      </w:r>
      <w:bookmarkEnd w:id="18"/>
      <w:r>
        <w:rPr>
          <w:rFonts w:hint="eastAsia" w:eastAsia="仿宋_GB2312"/>
          <w:color w:val="auto"/>
          <w:sz w:val="32"/>
          <w:szCs w:val="32"/>
        </w:rPr>
        <w:t>取月饼/茶叶产品</w:t>
      </w:r>
      <w:r>
        <w:rPr>
          <w:rFonts w:hint="eastAsia" w:eastAsia="仿宋_GB2312"/>
          <w:color w:val="auto"/>
          <w:sz w:val="32"/>
          <w:szCs w:val="32"/>
          <w:lang w:eastAsia="zh-CN"/>
        </w:rPr>
        <w:t>，</w:t>
      </w:r>
      <w:r>
        <w:rPr>
          <w:rFonts w:hint="eastAsia" w:eastAsia="仿宋_GB2312"/>
          <w:color w:val="auto"/>
          <w:sz w:val="32"/>
          <w:szCs w:val="32"/>
        </w:rPr>
        <w:t>对是否涉及过度包装情况进行检查，每批次产品抽取样品2盒，其中1盒作为检查样品，1盒作为备用样品。</w:t>
      </w:r>
    </w:p>
    <w:p>
      <w:pPr>
        <w:snapToGrid w:val="0"/>
        <w:spacing w:line="590" w:lineRule="exact"/>
        <w:ind w:firstLine="640" w:firstLineChars="200"/>
        <w:rPr>
          <w:rFonts w:hint="eastAsia" w:eastAsia="黑体"/>
          <w:color w:val="auto"/>
          <w:sz w:val="32"/>
          <w:szCs w:val="32"/>
        </w:rPr>
      </w:pPr>
      <w:r>
        <w:rPr>
          <w:rFonts w:hint="eastAsia" w:eastAsia="黑体"/>
          <w:color w:val="auto"/>
          <w:sz w:val="32"/>
          <w:szCs w:val="32"/>
        </w:rPr>
        <w:t>2 检验依据</w:t>
      </w:r>
    </w:p>
    <w:p>
      <w:pPr>
        <w:spacing w:line="590" w:lineRule="exact"/>
        <w:jc w:val="center"/>
        <w:textAlignment w:val="center"/>
        <w:rPr>
          <w:rFonts w:hint="eastAsia" w:ascii="仿宋_GB2312" w:hAnsi="仿宋_GB2312" w:eastAsia="仿宋_GB2312"/>
          <w:color w:val="auto"/>
          <w:sz w:val="32"/>
        </w:rPr>
      </w:pPr>
      <w:bookmarkStart w:id="2" w:name="OLE_LINK3"/>
      <w:bookmarkStart w:id="3" w:name="OLE_LINK23"/>
      <w:bookmarkStart w:id="4" w:name="_Hlk40347690"/>
      <w:r>
        <w:rPr>
          <w:rFonts w:hint="eastAsia" w:ascii="仿宋_GB2312" w:hAnsi="仿宋_GB2312" w:eastAsia="仿宋_GB2312"/>
          <w:color w:val="auto"/>
          <w:sz w:val="32"/>
        </w:rPr>
        <w:t>表2 直接接触食品塑料膜袋包装检验项目</w:t>
      </w:r>
      <w:bookmarkEnd w:id="2"/>
    </w:p>
    <w:tbl>
      <w:tblPr>
        <w:tblStyle w:val="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3947"/>
        <w:gridCol w:w="2254"/>
        <w:gridCol w:w="2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0" w:hRule="exact"/>
          <w:tblHeader/>
          <w:jc w:val="center"/>
        </w:trPr>
        <w:tc>
          <w:tcPr>
            <w:tcW w:w="393" w:type="pct"/>
            <w:noWrap w:val="0"/>
            <w:vAlign w:val="center"/>
          </w:tcPr>
          <w:p>
            <w:pPr>
              <w:adjustRightInd w:val="0"/>
              <w:snapToGrid w:val="0"/>
              <w:spacing w:line="400" w:lineRule="exact"/>
              <w:jc w:val="center"/>
              <w:rPr>
                <w:rFonts w:hint="eastAsia" w:eastAsia="黑体"/>
                <w:color w:val="auto"/>
                <w:sz w:val="24"/>
              </w:rPr>
            </w:pPr>
            <w:r>
              <w:rPr>
                <w:rFonts w:hint="eastAsia" w:eastAsia="黑体"/>
                <w:color w:val="auto"/>
                <w:sz w:val="24"/>
              </w:rPr>
              <w:t>序号</w:t>
            </w:r>
          </w:p>
        </w:tc>
        <w:tc>
          <w:tcPr>
            <w:tcW w:w="2152" w:type="pct"/>
            <w:noWrap w:val="0"/>
            <w:vAlign w:val="center"/>
          </w:tcPr>
          <w:p>
            <w:pPr>
              <w:adjustRightInd w:val="0"/>
              <w:snapToGrid w:val="0"/>
              <w:spacing w:line="400" w:lineRule="exact"/>
              <w:jc w:val="center"/>
              <w:rPr>
                <w:rFonts w:hint="eastAsia" w:eastAsia="黑体"/>
                <w:color w:val="auto"/>
                <w:sz w:val="24"/>
              </w:rPr>
            </w:pPr>
            <w:r>
              <w:rPr>
                <w:rFonts w:hint="eastAsia" w:eastAsia="黑体"/>
                <w:color w:val="auto"/>
                <w:sz w:val="24"/>
              </w:rPr>
              <w:t>检验项目</w:t>
            </w:r>
          </w:p>
        </w:tc>
        <w:tc>
          <w:tcPr>
            <w:tcW w:w="1229" w:type="pct"/>
            <w:noWrap w:val="0"/>
            <w:vAlign w:val="center"/>
          </w:tcPr>
          <w:p>
            <w:pPr>
              <w:adjustRightInd w:val="0"/>
              <w:snapToGrid w:val="0"/>
              <w:spacing w:line="400" w:lineRule="exact"/>
              <w:jc w:val="center"/>
              <w:rPr>
                <w:rFonts w:hint="eastAsia" w:eastAsia="黑体"/>
                <w:color w:val="auto"/>
                <w:sz w:val="24"/>
              </w:rPr>
            </w:pPr>
            <w:r>
              <w:rPr>
                <w:rFonts w:hint="eastAsia" w:eastAsia="黑体"/>
                <w:color w:val="auto"/>
                <w:sz w:val="24"/>
              </w:rPr>
              <w:t>检验依据</w:t>
            </w:r>
          </w:p>
        </w:tc>
        <w:tc>
          <w:tcPr>
            <w:tcW w:w="1225" w:type="pct"/>
            <w:noWrap w:val="0"/>
            <w:vAlign w:val="center"/>
          </w:tcPr>
          <w:p>
            <w:pPr>
              <w:adjustRightInd w:val="0"/>
              <w:snapToGrid w:val="0"/>
              <w:spacing w:line="400" w:lineRule="exact"/>
              <w:jc w:val="center"/>
              <w:rPr>
                <w:rFonts w:hint="eastAsia" w:eastAsia="黑体"/>
                <w:color w:val="auto"/>
                <w:sz w:val="24"/>
              </w:rPr>
            </w:pPr>
            <w:r>
              <w:rPr>
                <w:rFonts w:hint="eastAsia" w:eastAsia="黑体"/>
                <w:color w:val="auto"/>
                <w:sz w:val="24"/>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kern w:val="0"/>
                <w:sz w:val="24"/>
              </w:rPr>
              <w:t>1</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感官要求</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kern w:val="0"/>
                <w:sz w:val="24"/>
              </w:rPr>
              <w:t>2</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总迁移量</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31604.8—2021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kern w:val="0"/>
                <w:sz w:val="24"/>
              </w:rPr>
              <w:t>3</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高锰酸钾消耗量</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31604.2—2016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kern w:val="0"/>
                <w:sz w:val="24"/>
              </w:rPr>
              <w:t>4</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重金属（以Pb计）</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31604.9—2016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5</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芳香族伯胺迁移总量</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31604.52—2021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6</w:t>
            </w:r>
          </w:p>
        </w:tc>
        <w:tc>
          <w:tcPr>
            <w:tcW w:w="2152" w:type="pct"/>
            <w:noWrap w:val="0"/>
            <w:vAlign w:val="center"/>
          </w:tcPr>
          <w:p>
            <w:pPr>
              <w:adjustRightInd w:val="0"/>
              <w:snapToGrid w:val="0"/>
              <w:jc w:val="center"/>
              <w:outlineLvl w:val="0"/>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脱色试验</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31604.7—2023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7</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溶剂残留量总量</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产品明示执行标准</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食品相关产品生产许可实施细则（一）食品用塑料包装容器工具等制品部分</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10004—2008</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 xml:space="preserve">GB 31604.60—2024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8</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苯类溶剂残留量</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产品明示执行标准</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食品相关产品生产许可实施细则（一）食品用塑料包装容器工具等制品部分</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10004—2008</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31604.60—2024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9</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特定迁移总量（以己内酰胺计）</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（限含PA材质的产品）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31604.19—2016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10</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氯乙烯特定迁移量</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（限含PVC、PVDC材质的产品）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snapToGrid w:val="0"/>
              <w:spacing w:line="300" w:lineRule="exact"/>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rPr>
              <w:t>GB 31604.31—20</w:t>
            </w:r>
            <w:r>
              <w:rPr>
                <w:rFonts w:hint="eastAsia" w:ascii="仿宋_GB2312" w:hAnsi="仿宋_GB2312" w:eastAsia="仿宋_GB2312" w:cs="仿宋_GB2312"/>
                <w:color w:val="auto"/>
                <w:sz w:val="24"/>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11</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邻苯类增塑剂特定迁移量</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（限含PVC材质的产品）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9685—2016</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31604.30—2025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12</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特定迁移总量（以对苯二甲酸计）</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（限含PET、PBT材质的产品）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default" w:ascii="仿宋_GB2312" w:hAnsi="仿宋_GB2312" w:eastAsia="仿宋_GB2312" w:cs="仿宋_GB2312"/>
                <w:color w:val="auto"/>
                <w:sz w:val="24"/>
                <w:highlight w:val="red"/>
                <w:lang w:val="en-US" w:eastAsia="zh-CN"/>
              </w:rPr>
            </w:pPr>
            <w:r>
              <w:rPr>
                <w:rFonts w:hint="eastAsia" w:ascii="仿宋_GB2312" w:hAnsi="仿宋_GB2312" w:eastAsia="仿宋_GB2312" w:cs="仿宋_GB2312"/>
                <w:color w:val="auto"/>
                <w:sz w:val="24"/>
              </w:rPr>
              <w:t>GB 31604.21—20</w:t>
            </w:r>
            <w:r>
              <w:rPr>
                <w:rFonts w:hint="eastAsia" w:ascii="仿宋_GB2312" w:hAnsi="仿宋_GB2312" w:eastAsia="仿宋_GB2312" w:cs="仿宋_GB2312"/>
                <w:color w:val="auto"/>
                <w:sz w:val="24"/>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13</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特定迁移总量（以1,2—乙二醇计）</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（限含PET材质的产品）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highlight w:val="red"/>
              </w:rPr>
            </w:pPr>
            <w:r>
              <w:rPr>
                <w:rFonts w:hint="eastAsia" w:ascii="仿宋_GB2312" w:hAnsi="仿宋_GB2312" w:eastAsia="仿宋_GB2312" w:cs="仿宋_GB2312"/>
                <w:color w:val="auto"/>
                <w:sz w:val="24"/>
              </w:rPr>
              <w:t>GB 31604.44—2016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14</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特定迁移总量（以1,4—丁二醇计）</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（限含PBT材质的产品）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225"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31604.51—2021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15</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大肠菌群</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14934—2016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16</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沙门氏菌</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4806.13—2023</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14934—2016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17</w:t>
            </w:r>
          </w:p>
        </w:tc>
        <w:tc>
          <w:tcPr>
            <w:tcW w:w="2152" w:type="pct"/>
            <w:noWrap w:val="0"/>
            <w:vAlign w:val="center"/>
          </w:tcPr>
          <w:p>
            <w:pPr>
              <w:snapToGrid w:val="0"/>
              <w:spacing w:line="440" w:lineRule="exact"/>
              <w:jc w:val="center"/>
              <w:outlineLvl w:val="0"/>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阻隔性能（氧气）</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产品明示执行标准</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1038—2000</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1038.1—2022</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19789—2005</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19789—2021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18</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阻隔性能（水蒸气）</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产品明示执行标准</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1037—1988</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1037—2021</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21529—2008</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26253—2010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 w:type="pct"/>
            <w:noWrap w:val="0"/>
            <w:vAlign w:val="center"/>
          </w:tcPr>
          <w:p>
            <w:pPr>
              <w:adjustRightInd w:val="0"/>
              <w:snapToGrid w:val="0"/>
              <w:jc w:val="center"/>
              <w:textAlignment w:val="center"/>
              <w:rPr>
                <w:rFonts w:hint="eastAsia" w:ascii="仿宋_GB2312" w:hAnsi="仿宋_GB2312" w:eastAsia="仿宋_GB2312" w:cs="仿宋_GB2312"/>
                <w:color w:val="auto"/>
                <w:kern w:val="0"/>
                <w:sz w:val="24"/>
              </w:rPr>
            </w:pPr>
            <w:r>
              <w:rPr>
                <w:rFonts w:hint="eastAsia" w:ascii="仿宋_GB2312" w:hAnsi="仿宋_GB2312" w:eastAsia="仿宋_GB2312" w:cs="仿宋_GB2312"/>
                <w:color w:val="auto"/>
                <w:kern w:val="0"/>
                <w:sz w:val="24"/>
              </w:rPr>
              <w:t>19</w:t>
            </w:r>
          </w:p>
        </w:tc>
        <w:tc>
          <w:tcPr>
            <w:tcW w:w="21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热封强度（仅对袋类产品）</w:t>
            </w:r>
          </w:p>
        </w:tc>
        <w:tc>
          <w:tcPr>
            <w:tcW w:w="1229"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产品明示执行标准</w:t>
            </w:r>
          </w:p>
        </w:tc>
        <w:tc>
          <w:tcPr>
            <w:tcW w:w="1225"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QB/T 2358—1998</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GB/T 19741—2005</w:t>
            </w:r>
          </w:p>
        </w:tc>
      </w:tr>
      <w:bookmarkEnd w:id="3"/>
    </w:tbl>
    <w:p>
      <w:pPr>
        <w:snapToGrid w:val="0"/>
        <w:spacing w:line="440" w:lineRule="exact"/>
        <w:jc w:val="center"/>
        <w:rPr>
          <w:rFonts w:hint="eastAsia"/>
          <w:color w:val="auto"/>
          <w:kern w:val="0"/>
          <w:szCs w:val="21"/>
        </w:rPr>
      </w:pPr>
      <w:bookmarkStart w:id="5" w:name="OLE_LINK4"/>
    </w:p>
    <w:p>
      <w:pPr>
        <w:spacing w:line="590" w:lineRule="exact"/>
        <w:jc w:val="center"/>
        <w:textAlignment w:val="center"/>
        <w:rPr>
          <w:rFonts w:hint="eastAsia" w:ascii="仿宋_GB2312" w:hAnsi="仿宋_GB2312" w:eastAsia="仿宋_GB2312"/>
          <w:color w:val="auto"/>
          <w:sz w:val="32"/>
        </w:rPr>
      </w:pPr>
      <w:r>
        <w:rPr>
          <w:rFonts w:hint="eastAsia" w:ascii="仿宋_GB2312" w:hAnsi="仿宋_GB2312" w:eastAsia="仿宋_GB2312"/>
          <w:color w:val="auto"/>
          <w:sz w:val="32"/>
        </w:rPr>
        <w:t>表3 直接接触包装塑料托检验项目</w:t>
      </w:r>
    </w:p>
    <w:tbl>
      <w:tblPr>
        <w:tblStyle w:val="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2795"/>
        <w:gridCol w:w="2780"/>
        <w:gridCol w:w="2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blHeader/>
          <w:jc w:val="center"/>
        </w:trPr>
        <w:tc>
          <w:tcPr>
            <w:tcW w:w="444" w:type="pct"/>
            <w:noWrap w:val="0"/>
            <w:vAlign w:val="center"/>
          </w:tcPr>
          <w:p>
            <w:pPr>
              <w:adjustRightInd w:val="0"/>
              <w:snapToGrid w:val="0"/>
              <w:spacing w:line="400" w:lineRule="exact"/>
              <w:jc w:val="center"/>
              <w:rPr>
                <w:rFonts w:eastAsia="黑体"/>
                <w:color w:val="auto"/>
                <w:sz w:val="24"/>
              </w:rPr>
            </w:pPr>
            <w:r>
              <w:rPr>
                <w:rFonts w:hint="eastAsia" w:eastAsia="黑体"/>
                <w:color w:val="auto"/>
                <w:sz w:val="24"/>
              </w:rPr>
              <w:t>序号</w:t>
            </w:r>
          </w:p>
        </w:tc>
        <w:tc>
          <w:tcPr>
            <w:tcW w:w="1524" w:type="pct"/>
            <w:noWrap w:val="0"/>
            <w:vAlign w:val="center"/>
          </w:tcPr>
          <w:p>
            <w:pPr>
              <w:adjustRightInd w:val="0"/>
              <w:snapToGrid w:val="0"/>
              <w:spacing w:line="400" w:lineRule="exact"/>
              <w:jc w:val="center"/>
              <w:rPr>
                <w:rFonts w:eastAsia="黑体"/>
                <w:color w:val="auto"/>
                <w:sz w:val="24"/>
              </w:rPr>
            </w:pPr>
            <w:r>
              <w:rPr>
                <w:rFonts w:hint="eastAsia" w:eastAsia="黑体"/>
                <w:color w:val="auto"/>
                <w:sz w:val="24"/>
              </w:rPr>
              <w:t>检验项目</w:t>
            </w:r>
          </w:p>
        </w:tc>
        <w:tc>
          <w:tcPr>
            <w:tcW w:w="1516" w:type="pct"/>
            <w:noWrap w:val="0"/>
            <w:vAlign w:val="center"/>
          </w:tcPr>
          <w:p>
            <w:pPr>
              <w:adjustRightInd w:val="0"/>
              <w:snapToGrid w:val="0"/>
              <w:spacing w:line="400" w:lineRule="exact"/>
              <w:jc w:val="center"/>
              <w:rPr>
                <w:rFonts w:hint="eastAsia" w:eastAsia="黑体"/>
                <w:color w:val="auto"/>
                <w:sz w:val="24"/>
              </w:rPr>
            </w:pPr>
            <w:r>
              <w:rPr>
                <w:rFonts w:hint="eastAsia" w:eastAsia="黑体"/>
                <w:color w:val="auto"/>
                <w:sz w:val="24"/>
              </w:rPr>
              <w:t>检验依据</w:t>
            </w:r>
          </w:p>
        </w:tc>
        <w:tc>
          <w:tcPr>
            <w:tcW w:w="1514" w:type="pct"/>
            <w:noWrap w:val="0"/>
            <w:vAlign w:val="center"/>
          </w:tcPr>
          <w:p>
            <w:pPr>
              <w:adjustRightInd w:val="0"/>
              <w:snapToGrid w:val="0"/>
              <w:spacing w:line="400" w:lineRule="exact"/>
              <w:jc w:val="center"/>
              <w:rPr>
                <w:rFonts w:eastAsia="黑体"/>
                <w:color w:val="auto"/>
                <w:sz w:val="24"/>
              </w:rPr>
            </w:pPr>
            <w:r>
              <w:rPr>
                <w:rFonts w:hint="eastAsia" w:eastAsia="黑体"/>
                <w:color w:val="auto"/>
                <w:sz w:val="24"/>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感官要求</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总迁移量</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31604.8—2021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高锰酸钾消耗量</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 xml:space="preserve">GB 31604.2—2016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重金属（以Pb计）</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 xml:space="preserve">GB 31604.9—2016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脱色试验</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31604.7—2023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芳香族伯胺迁移总量</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31604.52—2021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特定迁移总量（以己内酰胺计）（限PA材质）</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 xml:space="preserve">GB 31604.19—2016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氯乙烯特定迁移量</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（限PVC、PVDC材质）</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31604.31—20</w:t>
            </w:r>
            <w:r>
              <w:rPr>
                <w:rFonts w:hint="eastAsia" w:ascii="仿宋_GB2312" w:hAnsi="仿宋_GB2312" w:eastAsia="仿宋_GB2312" w:cs="仿宋_GB2312"/>
                <w:color w:val="auto"/>
                <w:sz w:val="24"/>
                <w:lang w:val="en-US" w:eastAsia="zh-CN"/>
              </w:rPr>
              <w:t>25</w:t>
            </w:r>
            <w:r>
              <w:rPr>
                <w:rFonts w:hint="eastAsia" w:ascii="仿宋_GB2312" w:hAnsi="仿宋_GB2312" w:eastAsia="仿宋_GB2312" w:cs="仿宋_GB2312"/>
                <w:color w:val="auto"/>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特定迁移总量（以对苯二甲酸计）（限PET、PBT材质）</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rPr>
              <w:t>GB 31604.21—20</w:t>
            </w:r>
            <w:r>
              <w:rPr>
                <w:rFonts w:hint="eastAsia" w:ascii="仿宋_GB2312" w:hAnsi="仿宋_GB2312" w:eastAsia="仿宋_GB2312" w:cs="仿宋_GB2312"/>
                <w:color w:val="auto"/>
                <w:sz w:val="24"/>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bookmarkStart w:id="6" w:name="OLE_LINK27"/>
            <w:r>
              <w:rPr>
                <w:rFonts w:hint="eastAsia" w:ascii="仿宋_GB2312" w:hAnsi="仿宋_GB2312" w:eastAsia="仿宋_GB2312" w:cs="仿宋_GB2312"/>
                <w:color w:val="auto"/>
                <w:sz w:val="24"/>
              </w:rPr>
              <w:t>特定迁移总量（以1,2-乙二醇计）（限PET材质）</w:t>
            </w:r>
            <w:bookmarkEnd w:id="6"/>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31604.44—2016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bookmarkStart w:id="7" w:name="OLE_LINK28" w:colFirst="1" w:colLast="1"/>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特定迁移总量（以1,4-丁二醇计）（限PBT材质）</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31604.51—2021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1,3-丁二烯特定迁移量</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（限有丁二烯单体的聚合物）</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31604.12—2016</w:t>
            </w:r>
          </w:p>
        </w:tc>
      </w:tr>
      <w:bookmarkEnd w:id="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44" w:type="pct"/>
            <w:noWrap w:val="0"/>
            <w:vAlign w:val="center"/>
          </w:tcPr>
          <w:p>
            <w:pPr>
              <w:numPr>
                <w:ilvl w:val="0"/>
                <w:numId w:val="1"/>
              </w:numPr>
              <w:adjustRightInd w:val="0"/>
              <w:snapToGrid w:val="0"/>
              <w:jc w:val="center"/>
              <w:rPr>
                <w:rFonts w:hint="eastAsia" w:ascii="仿宋_GB2312" w:hAnsi="仿宋_GB2312" w:eastAsia="仿宋_GB2312" w:cs="仿宋_GB2312"/>
                <w:color w:val="auto"/>
                <w:sz w:val="24"/>
              </w:rPr>
            </w:pPr>
          </w:p>
        </w:tc>
        <w:tc>
          <w:tcPr>
            <w:tcW w:w="152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邻苯类增塑剂特定迁移量</w:t>
            </w:r>
          </w:p>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（限PVC材质）</w:t>
            </w:r>
          </w:p>
        </w:tc>
        <w:tc>
          <w:tcPr>
            <w:tcW w:w="1516"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9685—2016</w:t>
            </w:r>
          </w:p>
        </w:tc>
        <w:tc>
          <w:tcPr>
            <w:tcW w:w="1514"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31604.30—2025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5000" w:type="pct"/>
            <w:gridSpan w:val="4"/>
            <w:noWrap w:val="0"/>
            <w:vAlign w:val="center"/>
          </w:tcPr>
          <w:p>
            <w:pPr>
              <w:adjustRightInd w:val="0"/>
              <w:snapToGrid w:val="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注：1.高锰酸钾消耗量不适用于淀粉含量≥40%的淀粉基塑料材料及制品。</w:t>
            </w:r>
          </w:p>
          <w:p>
            <w:pPr>
              <w:adjustRightInd w:val="0"/>
              <w:snapToGrid w:val="0"/>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lang w:val="en-US" w:eastAsia="zh-CN"/>
              </w:rPr>
              <w:t>2</w:t>
            </w:r>
            <w:r>
              <w:rPr>
                <w:rFonts w:hint="eastAsia" w:ascii="仿宋_GB2312" w:hAnsi="仿宋_GB2312" w:eastAsia="仿宋_GB2312" w:cs="仿宋_GB2312"/>
                <w:color w:val="auto"/>
                <w:sz w:val="24"/>
              </w:rPr>
              <w:t>.脱色试验项目仅适用于添加着色剂的产品</w:t>
            </w:r>
            <w:r>
              <w:rPr>
                <w:rFonts w:hint="eastAsia" w:ascii="仿宋_GB2312" w:hAnsi="仿宋_GB2312" w:eastAsia="仿宋_GB2312" w:cs="仿宋_GB2312"/>
                <w:color w:val="auto"/>
                <w:sz w:val="24"/>
                <w:lang w:eastAsia="zh-CN"/>
              </w:rPr>
              <w:t>。</w:t>
            </w:r>
          </w:p>
        </w:tc>
      </w:tr>
    </w:tbl>
    <w:p>
      <w:pPr>
        <w:snapToGrid w:val="0"/>
        <w:spacing w:line="440" w:lineRule="exact"/>
        <w:jc w:val="center"/>
        <w:rPr>
          <w:rFonts w:hint="eastAsia"/>
          <w:color w:val="auto"/>
          <w:kern w:val="0"/>
        </w:rPr>
      </w:pPr>
    </w:p>
    <w:p>
      <w:pPr>
        <w:spacing w:line="590" w:lineRule="exact"/>
        <w:jc w:val="center"/>
        <w:textAlignment w:val="center"/>
        <w:rPr>
          <w:rFonts w:hint="eastAsia" w:ascii="仿宋_GB2312" w:hAnsi="仿宋_GB2312" w:eastAsia="仿宋_GB2312"/>
          <w:color w:val="auto"/>
          <w:sz w:val="32"/>
        </w:rPr>
      </w:pPr>
      <w:r>
        <w:rPr>
          <w:rFonts w:hint="eastAsia" w:ascii="仿宋_GB2312" w:hAnsi="仿宋_GB2312" w:eastAsia="仿宋_GB2312"/>
          <w:color w:val="auto"/>
          <w:sz w:val="32"/>
        </w:rPr>
        <w:t>表4  直接接触纸包装检验项目</w:t>
      </w:r>
      <w:bookmarkEnd w:id="5"/>
    </w:p>
    <w:tbl>
      <w:tblPr>
        <w:tblStyle w:val="8"/>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6"/>
        <w:gridCol w:w="2728"/>
        <w:gridCol w:w="2846"/>
        <w:gridCol w:w="28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blHeader/>
          <w:jc w:val="center"/>
        </w:trPr>
        <w:tc>
          <w:tcPr>
            <w:tcW w:w="407" w:type="pct"/>
            <w:noWrap w:val="0"/>
            <w:vAlign w:val="center"/>
          </w:tcPr>
          <w:p>
            <w:pPr>
              <w:adjustRightInd w:val="0"/>
              <w:snapToGrid w:val="0"/>
              <w:spacing w:line="400" w:lineRule="exact"/>
              <w:jc w:val="center"/>
              <w:rPr>
                <w:rFonts w:eastAsia="黑体"/>
                <w:color w:val="auto"/>
                <w:sz w:val="24"/>
              </w:rPr>
            </w:pPr>
            <w:r>
              <w:rPr>
                <w:rFonts w:eastAsia="黑体"/>
                <w:color w:val="auto"/>
                <w:sz w:val="24"/>
              </w:rPr>
              <w:t>序号</w:t>
            </w:r>
          </w:p>
        </w:tc>
        <w:tc>
          <w:tcPr>
            <w:tcW w:w="1488" w:type="pct"/>
            <w:noWrap w:val="0"/>
            <w:vAlign w:val="center"/>
          </w:tcPr>
          <w:p>
            <w:pPr>
              <w:adjustRightInd w:val="0"/>
              <w:snapToGrid w:val="0"/>
              <w:spacing w:line="400" w:lineRule="exact"/>
              <w:jc w:val="center"/>
              <w:rPr>
                <w:rFonts w:eastAsia="黑体"/>
                <w:color w:val="auto"/>
                <w:sz w:val="24"/>
              </w:rPr>
            </w:pPr>
            <w:r>
              <w:rPr>
                <w:rFonts w:eastAsia="黑体"/>
                <w:color w:val="auto"/>
                <w:sz w:val="24"/>
              </w:rPr>
              <w:t>检验项目</w:t>
            </w:r>
          </w:p>
        </w:tc>
        <w:tc>
          <w:tcPr>
            <w:tcW w:w="1552" w:type="pct"/>
            <w:noWrap w:val="0"/>
            <w:vAlign w:val="center"/>
          </w:tcPr>
          <w:p>
            <w:pPr>
              <w:adjustRightInd w:val="0"/>
              <w:snapToGrid w:val="0"/>
              <w:spacing w:line="400" w:lineRule="exact"/>
              <w:jc w:val="center"/>
              <w:rPr>
                <w:rFonts w:eastAsia="黑体"/>
                <w:color w:val="auto"/>
                <w:sz w:val="24"/>
              </w:rPr>
            </w:pPr>
            <w:r>
              <w:rPr>
                <w:rFonts w:eastAsia="黑体"/>
                <w:color w:val="auto"/>
                <w:sz w:val="24"/>
              </w:rPr>
              <w:t>检验依据</w:t>
            </w:r>
          </w:p>
        </w:tc>
        <w:tc>
          <w:tcPr>
            <w:tcW w:w="1551" w:type="pct"/>
            <w:noWrap w:val="0"/>
            <w:vAlign w:val="center"/>
          </w:tcPr>
          <w:p>
            <w:pPr>
              <w:adjustRightInd w:val="0"/>
              <w:snapToGrid w:val="0"/>
              <w:spacing w:line="400" w:lineRule="exact"/>
              <w:jc w:val="center"/>
              <w:rPr>
                <w:rFonts w:eastAsia="黑体"/>
                <w:color w:val="auto"/>
                <w:sz w:val="24"/>
              </w:rPr>
            </w:pPr>
            <w:r>
              <w:rPr>
                <w:rFonts w:eastAsia="黑体"/>
                <w:color w:val="auto"/>
                <w:sz w:val="24"/>
              </w:rPr>
              <w:t>检验方法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bookmarkStart w:id="8" w:name="_Hlk195171421"/>
            <w:bookmarkStart w:id="9" w:name="OLE_LINK31" w:colFirst="1" w:colLast="65"/>
            <w:bookmarkStart w:id="10" w:name="OLE_LINK30" w:colFirst="1" w:colLast="65"/>
            <w:r>
              <w:rPr>
                <w:rFonts w:hint="eastAsia" w:ascii="仿宋_GB2312" w:hAnsi="仿宋_GB2312" w:eastAsia="仿宋_GB2312" w:cs="仿宋_GB2312"/>
                <w:color w:val="auto"/>
                <w:sz w:val="24"/>
              </w:rPr>
              <w:t>1</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感官要求</w:t>
            </w:r>
          </w:p>
        </w:tc>
        <w:tc>
          <w:tcPr>
            <w:tcW w:w="1552" w:type="pct"/>
            <w:noWrap w:val="0"/>
            <w:vAlign w:val="center"/>
          </w:tcPr>
          <w:p>
            <w:pPr>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4806.8—2022或</w:t>
            </w:r>
          </w:p>
          <w:p>
            <w:pPr>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4806.8—2022或</w:t>
            </w:r>
          </w:p>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总迁移量</w:t>
            </w:r>
          </w:p>
        </w:tc>
        <w:tc>
          <w:tcPr>
            <w:tcW w:w="1552" w:type="pct"/>
            <w:noWrap w:val="0"/>
            <w:vAlign w:val="center"/>
          </w:tcPr>
          <w:p>
            <w:pPr>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4806.8—2022或</w:t>
            </w:r>
          </w:p>
          <w:p>
            <w:pPr>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31604.8—2021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高锰酸钾消耗量</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31604.2—2016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4</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重金属（以Pb计）</w:t>
            </w:r>
          </w:p>
        </w:tc>
        <w:tc>
          <w:tcPr>
            <w:tcW w:w="1552" w:type="pct"/>
            <w:noWrap w:val="0"/>
            <w:vAlign w:val="center"/>
          </w:tcPr>
          <w:p>
            <w:pPr>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4806.8—2022或</w:t>
            </w:r>
          </w:p>
          <w:p>
            <w:pPr>
              <w:ind w:firstLine="480" w:firstLineChars="20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31604.9—2016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5</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芳香族伯胺迁移总量</w:t>
            </w:r>
          </w:p>
        </w:tc>
        <w:tc>
          <w:tcPr>
            <w:tcW w:w="1552"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4806.7—2023</w:t>
            </w:r>
          </w:p>
        </w:tc>
        <w:tc>
          <w:tcPr>
            <w:tcW w:w="1551"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31604.52—2021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6</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铅（Pb）</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31604.34—2016</w:t>
            </w:r>
          </w:p>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或GB 31604.49—2023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7</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砷（As）</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31604.38—2016</w:t>
            </w:r>
          </w:p>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或GB 31604.49—2023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8</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荧光性物质</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31604.47—2023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9</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甲醛</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31604.48—2016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10</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1,3-二氯-2-丙醇</w:t>
            </w:r>
          </w:p>
        </w:tc>
        <w:tc>
          <w:tcPr>
            <w:tcW w:w="1552" w:type="pct"/>
            <w:noWrap w:val="0"/>
            <w:vAlign w:val="center"/>
          </w:tcPr>
          <w:p>
            <w:pPr>
              <w:adjustRightInd w:val="0"/>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adjustRightInd w:val="0"/>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11</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3-氯-1,2-丙二醇</w:t>
            </w:r>
          </w:p>
        </w:tc>
        <w:tc>
          <w:tcPr>
            <w:tcW w:w="1552" w:type="pct"/>
            <w:noWrap w:val="0"/>
            <w:vAlign w:val="center"/>
          </w:tcPr>
          <w:p>
            <w:pPr>
              <w:adjustRightInd w:val="0"/>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adjustRightInd w:val="0"/>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12</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大肠菌群</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14934—2016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13</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沙门氏菌</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14934—2016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407"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14</w:t>
            </w:r>
          </w:p>
        </w:tc>
        <w:tc>
          <w:tcPr>
            <w:tcW w:w="1488"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霉菌</w:t>
            </w:r>
          </w:p>
        </w:tc>
        <w:tc>
          <w:tcPr>
            <w:tcW w:w="1552" w:type="pct"/>
            <w:noWrap w:val="0"/>
            <w:vAlign w:val="center"/>
          </w:tcPr>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tc>
        <w:tc>
          <w:tcPr>
            <w:tcW w:w="1551" w:type="pct"/>
            <w:noWrap w:val="0"/>
            <w:vAlign w:val="center"/>
          </w:tcPr>
          <w:p>
            <w:pPr>
              <w:adjustRightInd w:val="0"/>
              <w:snapToGrid w:val="0"/>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4806.8—2022</w:t>
            </w:r>
          </w:p>
          <w:p>
            <w:pPr>
              <w:snapToGrid w:val="0"/>
              <w:spacing w:line="30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GB 4789.15—2016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5000" w:type="pct"/>
            <w:gridSpan w:val="4"/>
            <w:noWrap w:val="0"/>
            <w:vAlign w:val="center"/>
          </w:tcPr>
          <w:p>
            <w:pPr>
              <w:adjustRightInd w:val="0"/>
              <w:snapToGrid w:val="0"/>
              <w:spacing w:before="62" w:beforeLines="20" w:after="62" w:afterLines="20"/>
              <w:jc w:val="left"/>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注：高锰酸钾消耗量项目仅适用于淋（覆）膜产品。</w:t>
            </w:r>
          </w:p>
        </w:tc>
      </w:tr>
      <w:bookmarkEnd w:id="8"/>
      <w:bookmarkEnd w:id="9"/>
      <w:bookmarkEnd w:id="10"/>
    </w:tbl>
    <w:p>
      <w:pPr>
        <w:autoSpaceDE w:val="0"/>
        <w:autoSpaceDN w:val="0"/>
        <w:adjustRightInd w:val="0"/>
        <w:spacing w:line="590" w:lineRule="exact"/>
        <w:ind w:firstLine="640" w:firstLineChars="200"/>
        <w:rPr>
          <w:rFonts w:hint="eastAsia" w:eastAsia="仿宋_GB2312"/>
          <w:color w:val="auto"/>
          <w:sz w:val="32"/>
          <w:szCs w:val="32"/>
        </w:rPr>
      </w:pPr>
    </w:p>
    <w:p>
      <w:pPr>
        <w:snapToGrid w:val="0"/>
        <w:spacing w:line="440" w:lineRule="exact"/>
        <w:jc w:val="center"/>
        <w:rPr>
          <w:rFonts w:eastAsia="仿宋_GB2312"/>
          <w:color w:val="auto"/>
          <w:sz w:val="32"/>
          <w:szCs w:val="32"/>
        </w:rPr>
      </w:pPr>
      <w:r>
        <w:rPr>
          <w:rFonts w:hint="eastAsia" w:eastAsia="仿宋_GB2312"/>
          <w:color w:val="auto"/>
          <w:sz w:val="32"/>
          <w:szCs w:val="32"/>
        </w:rPr>
        <w:t>表5 直接接触食品的金属包装（有涂层）检验项目</w:t>
      </w:r>
    </w:p>
    <w:tbl>
      <w:tblPr>
        <w:tblStyle w:val="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2763"/>
        <w:gridCol w:w="2836"/>
        <w:gridCol w:w="2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2" w:hRule="atLeast"/>
          <w:tblHeader/>
          <w:jc w:val="center"/>
        </w:trPr>
        <w:tc>
          <w:tcPr>
            <w:tcW w:w="407" w:type="pct"/>
            <w:noWrap w:val="0"/>
            <w:vAlign w:val="center"/>
          </w:tcPr>
          <w:p>
            <w:pPr>
              <w:adjustRightInd w:val="0"/>
              <w:snapToGrid w:val="0"/>
              <w:spacing w:line="400" w:lineRule="exact"/>
              <w:jc w:val="center"/>
              <w:rPr>
                <w:rFonts w:eastAsia="黑体"/>
                <w:color w:val="auto"/>
                <w:sz w:val="24"/>
              </w:rPr>
            </w:pPr>
            <w:r>
              <w:rPr>
                <w:rFonts w:hint="eastAsia" w:eastAsia="黑体"/>
                <w:color w:val="auto"/>
                <w:sz w:val="24"/>
              </w:rPr>
              <w:t>序号</w:t>
            </w:r>
          </w:p>
        </w:tc>
        <w:tc>
          <w:tcPr>
            <w:tcW w:w="1505" w:type="pct"/>
            <w:noWrap w:val="0"/>
            <w:vAlign w:val="center"/>
          </w:tcPr>
          <w:p>
            <w:pPr>
              <w:adjustRightInd w:val="0"/>
              <w:snapToGrid w:val="0"/>
              <w:spacing w:line="400" w:lineRule="exact"/>
              <w:jc w:val="center"/>
              <w:rPr>
                <w:rFonts w:eastAsia="黑体"/>
                <w:color w:val="auto"/>
                <w:sz w:val="24"/>
              </w:rPr>
            </w:pPr>
            <w:r>
              <w:rPr>
                <w:rFonts w:hint="eastAsia" w:eastAsia="黑体"/>
                <w:color w:val="auto"/>
                <w:sz w:val="24"/>
              </w:rPr>
              <w:t>检验项目</w:t>
            </w:r>
          </w:p>
        </w:tc>
        <w:tc>
          <w:tcPr>
            <w:tcW w:w="1545" w:type="pct"/>
            <w:noWrap w:val="0"/>
            <w:vAlign w:val="center"/>
          </w:tcPr>
          <w:p>
            <w:pPr>
              <w:adjustRightInd w:val="0"/>
              <w:snapToGrid w:val="0"/>
              <w:spacing w:line="400" w:lineRule="exact"/>
              <w:jc w:val="center"/>
              <w:rPr>
                <w:rFonts w:hint="eastAsia" w:eastAsia="黑体"/>
                <w:color w:val="auto"/>
                <w:sz w:val="24"/>
              </w:rPr>
            </w:pPr>
            <w:r>
              <w:rPr>
                <w:rFonts w:eastAsia="黑体"/>
                <w:color w:val="auto"/>
                <w:sz w:val="24"/>
              </w:rPr>
              <w:t>检验依据</w:t>
            </w:r>
          </w:p>
        </w:tc>
        <w:tc>
          <w:tcPr>
            <w:tcW w:w="1541" w:type="pct"/>
            <w:noWrap w:val="0"/>
            <w:vAlign w:val="center"/>
          </w:tcPr>
          <w:p>
            <w:pPr>
              <w:adjustRightInd w:val="0"/>
              <w:snapToGrid w:val="0"/>
              <w:spacing w:line="400" w:lineRule="exact"/>
              <w:jc w:val="center"/>
              <w:rPr>
                <w:rFonts w:eastAsia="黑体"/>
                <w:color w:val="auto"/>
                <w:sz w:val="24"/>
              </w:rPr>
            </w:pPr>
            <w:r>
              <w:rPr>
                <w:rFonts w:hint="eastAsia" w:eastAsia="黑体"/>
                <w:color w:val="auto"/>
                <w:sz w:val="24"/>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3" w:hRule="atLeast"/>
          <w:jc w:val="center"/>
        </w:trPr>
        <w:tc>
          <w:tcPr>
            <w:tcW w:w="407"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1</w:t>
            </w:r>
          </w:p>
        </w:tc>
        <w:tc>
          <w:tcPr>
            <w:tcW w:w="150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感官要求</w:t>
            </w:r>
          </w:p>
        </w:tc>
        <w:tc>
          <w:tcPr>
            <w:tcW w:w="1545" w:type="pct"/>
            <w:noWrap w:val="0"/>
            <w:vAlign w:val="center"/>
          </w:tcPr>
          <w:p>
            <w:pPr>
              <w:adjustRightInd w:val="0"/>
              <w:snapToGrid w:val="0"/>
              <w:jc w:val="center"/>
              <w:rPr>
                <w:rFonts w:hint="eastAsia" w:ascii="仿宋_GB2312" w:hAnsi="仿宋_GB2312" w:eastAsia="仿宋_GB2312" w:cs="仿宋_GB2312"/>
                <w:color w:val="auto"/>
                <w:sz w:val="24"/>
                <w:lang w:eastAsia="zh-CN"/>
              </w:rPr>
            </w:pPr>
            <w:r>
              <w:rPr>
                <w:rFonts w:ascii="仿宋_GB2312" w:hAnsi="仿宋_GB2312" w:eastAsia="仿宋_GB2312" w:cs="仿宋_GB2312"/>
                <w:color w:val="auto"/>
                <w:sz w:val="24"/>
              </w:rPr>
              <w:t>GB 4806.</w:t>
            </w:r>
            <w:r>
              <w:rPr>
                <w:rFonts w:hint="eastAsia" w:ascii="仿宋_GB2312" w:hAnsi="仿宋_GB2312" w:eastAsia="仿宋_GB2312" w:cs="仿宋_GB2312"/>
                <w:color w:val="auto"/>
                <w:sz w:val="24"/>
              </w:rPr>
              <w:t>10</w:t>
            </w:r>
            <w:r>
              <w:rPr>
                <w:rFonts w:ascii="仿宋_GB2312" w:hAnsi="仿宋_GB2312" w:eastAsia="仿宋_GB2312" w:cs="仿宋_GB2312"/>
                <w:color w:val="auto"/>
                <w:sz w:val="24"/>
              </w:rPr>
              <w:t>—2016</w:t>
            </w:r>
            <w:bookmarkStart w:id="11" w:name="OLE_LINK5"/>
            <w:r>
              <w:rPr>
                <w:rFonts w:hint="eastAsia" w:ascii="仿宋_GB2312" w:hAnsi="仿宋_GB2312" w:eastAsia="仿宋_GB2312" w:cs="仿宋_GB2312"/>
                <w:color w:val="auto"/>
                <w:sz w:val="24"/>
                <w:lang w:eastAsia="zh-CN"/>
              </w:rPr>
              <w:t>或</w:t>
            </w:r>
            <w:bookmarkEnd w:id="11"/>
          </w:p>
          <w:p>
            <w:pPr>
              <w:adjustRightInd w:val="0"/>
              <w:snapToGrid w:val="0"/>
              <w:jc w:val="center"/>
              <w:rPr>
                <w:rFonts w:hint="default" w:ascii="仿宋_GB2312" w:hAnsi="仿宋_GB2312" w:eastAsia="仿宋_GB2312" w:cs="仿宋_GB2312"/>
                <w:color w:val="auto"/>
                <w:sz w:val="24"/>
                <w:lang w:val="en-US" w:eastAsia="zh-CN"/>
              </w:rPr>
            </w:pPr>
            <w:bookmarkStart w:id="12" w:name="OLE_LINK1"/>
            <w:r>
              <w:rPr>
                <w:rFonts w:hint="eastAsia" w:ascii="仿宋_GB2312" w:hAnsi="仿宋_GB2312" w:eastAsia="仿宋_GB2312" w:cs="仿宋_GB2312"/>
                <w:color w:val="auto"/>
                <w:sz w:val="24"/>
                <w:lang w:val="en-US" w:eastAsia="zh-CN"/>
              </w:rPr>
              <w:t>GB 4806.10-2025</w:t>
            </w:r>
            <w:bookmarkEnd w:id="12"/>
          </w:p>
        </w:tc>
        <w:tc>
          <w:tcPr>
            <w:tcW w:w="1541" w:type="pct"/>
            <w:noWrap w:val="0"/>
            <w:vAlign w:val="center"/>
          </w:tcPr>
          <w:p>
            <w:pPr>
              <w:adjustRightInd w:val="0"/>
              <w:snapToGrid w:val="0"/>
              <w:jc w:val="center"/>
              <w:rPr>
                <w:rFonts w:hint="eastAsia" w:ascii="仿宋_GB2312" w:hAnsi="仿宋_GB2312" w:eastAsia="仿宋_GB2312" w:cs="仿宋_GB2312"/>
                <w:color w:val="auto"/>
                <w:sz w:val="24"/>
                <w:lang w:eastAsia="zh-CN"/>
              </w:rPr>
            </w:pPr>
            <w:r>
              <w:rPr>
                <w:rFonts w:ascii="仿宋_GB2312" w:hAnsi="仿宋_GB2312" w:eastAsia="仿宋_GB2312" w:cs="仿宋_GB2312"/>
                <w:color w:val="auto"/>
                <w:sz w:val="24"/>
              </w:rPr>
              <w:t>GB 4806.</w:t>
            </w:r>
            <w:r>
              <w:rPr>
                <w:rFonts w:hint="eastAsia" w:ascii="仿宋_GB2312" w:hAnsi="仿宋_GB2312" w:eastAsia="仿宋_GB2312" w:cs="仿宋_GB2312"/>
                <w:color w:val="auto"/>
                <w:sz w:val="24"/>
              </w:rPr>
              <w:t>10</w:t>
            </w:r>
            <w:r>
              <w:rPr>
                <w:rFonts w:ascii="仿宋_GB2312" w:hAnsi="仿宋_GB2312" w:eastAsia="仿宋_GB2312" w:cs="仿宋_GB2312"/>
                <w:color w:val="auto"/>
                <w:sz w:val="24"/>
              </w:rPr>
              <w:t>—2016</w:t>
            </w:r>
            <w:r>
              <w:rPr>
                <w:rFonts w:hint="eastAsia" w:ascii="仿宋_GB2312" w:hAnsi="仿宋_GB2312" w:eastAsia="仿宋_GB2312" w:cs="仿宋_GB2312"/>
                <w:color w:val="auto"/>
                <w:sz w:val="24"/>
                <w:lang w:eastAsia="zh-CN"/>
              </w:rPr>
              <w:t>或</w:t>
            </w:r>
          </w:p>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lang w:val="en-US" w:eastAsia="zh-CN"/>
              </w:rPr>
              <w:t>GB 4806.10-2025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2" w:hRule="atLeast"/>
          <w:jc w:val="center"/>
        </w:trPr>
        <w:tc>
          <w:tcPr>
            <w:tcW w:w="407"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2</w:t>
            </w:r>
          </w:p>
        </w:tc>
        <w:tc>
          <w:tcPr>
            <w:tcW w:w="1505"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高锰酸钾消耗量</w:t>
            </w:r>
          </w:p>
        </w:tc>
        <w:tc>
          <w:tcPr>
            <w:tcW w:w="1545"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4806.</w:t>
            </w:r>
            <w:r>
              <w:rPr>
                <w:rFonts w:hint="eastAsia" w:ascii="仿宋_GB2312" w:hAnsi="仿宋_GB2312" w:eastAsia="仿宋_GB2312" w:cs="仿宋_GB2312"/>
                <w:color w:val="auto"/>
                <w:sz w:val="24"/>
              </w:rPr>
              <w:t>10</w:t>
            </w:r>
            <w:r>
              <w:rPr>
                <w:rFonts w:ascii="仿宋_GB2312" w:hAnsi="仿宋_GB2312" w:eastAsia="仿宋_GB2312" w:cs="仿宋_GB2312"/>
                <w:color w:val="auto"/>
                <w:sz w:val="24"/>
              </w:rPr>
              <w:t>—2016</w:t>
            </w:r>
            <w:r>
              <w:rPr>
                <w:rFonts w:hint="eastAsia" w:ascii="仿宋_GB2312" w:hAnsi="仿宋_GB2312" w:eastAsia="仿宋_GB2312" w:cs="仿宋_GB2312"/>
                <w:color w:val="auto"/>
                <w:sz w:val="24"/>
                <w:lang w:eastAsia="zh-CN"/>
              </w:rPr>
              <w:t>或</w:t>
            </w:r>
          </w:p>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lang w:val="en-US" w:eastAsia="zh-CN"/>
              </w:rPr>
              <w:t>GB 4806.10-2025</w:t>
            </w:r>
          </w:p>
        </w:tc>
        <w:tc>
          <w:tcPr>
            <w:tcW w:w="1541"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31604.2—2016</w:t>
            </w:r>
            <w:r>
              <w:rPr>
                <w:rFonts w:hint="eastAsia" w:ascii="仿宋_GB2312" w:hAnsi="仿宋_GB2312" w:eastAsia="仿宋_GB2312" w:cs="仿宋_GB2312"/>
                <w:color w:val="auto"/>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9" w:hRule="atLeast"/>
          <w:jc w:val="center"/>
        </w:trPr>
        <w:tc>
          <w:tcPr>
            <w:tcW w:w="407"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3</w:t>
            </w:r>
          </w:p>
        </w:tc>
        <w:tc>
          <w:tcPr>
            <w:tcW w:w="1505"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重金属（以Pb计）</w:t>
            </w:r>
          </w:p>
        </w:tc>
        <w:tc>
          <w:tcPr>
            <w:tcW w:w="1545"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4806.</w:t>
            </w:r>
            <w:r>
              <w:rPr>
                <w:rFonts w:hint="eastAsia" w:ascii="仿宋_GB2312" w:hAnsi="仿宋_GB2312" w:eastAsia="仿宋_GB2312" w:cs="仿宋_GB2312"/>
                <w:color w:val="auto"/>
                <w:sz w:val="24"/>
              </w:rPr>
              <w:t>10</w:t>
            </w:r>
            <w:r>
              <w:rPr>
                <w:rFonts w:ascii="仿宋_GB2312" w:hAnsi="仿宋_GB2312" w:eastAsia="仿宋_GB2312" w:cs="仿宋_GB2312"/>
                <w:color w:val="auto"/>
                <w:sz w:val="24"/>
              </w:rPr>
              <w:t>—2016</w:t>
            </w:r>
            <w:r>
              <w:rPr>
                <w:rFonts w:hint="eastAsia" w:ascii="仿宋_GB2312" w:hAnsi="仿宋_GB2312" w:eastAsia="仿宋_GB2312" w:cs="仿宋_GB2312"/>
                <w:color w:val="auto"/>
                <w:sz w:val="24"/>
                <w:lang w:eastAsia="zh-CN"/>
              </w:rPr>
              <w:t>或</w:t>
            </w:r>
          </w:p>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lang w:val="en-US" w:eastAsia="zh-CN"/>
              </w:rPr>
              <w:t>GB 4806.10-2025</w:t>
            </w:r>
          </w:p>
        </w:tc>
        <w:tc>
          <w:tcPr>
            <w:tcW w:w="1541"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31604.9—2016</w:t>
            </w:r>
          </w:p>
        </w:tc>
      </w:tr>
    </w:tbl>
    <w:p>
      <w:pPr>
        <w:snapToGrid w:val="0"/>
        <w:spacing w:line="440" w:lineRule="exact"/>
        <w:jc w:val="center"/>
        <w:rPr>
          <w:rFonts w:eastAsia="仿宋_GB2312"/>
          <w:color w:val="auto"/>
          <w:sz w:val="32"/>
          <w:szCs w:val="32"/>
        </w:rPr>
      </w:pPr>
      <w:r>
        <w:rPr>
          <w:rFonts w:hint="eastAsia" w:eastAsia="仿宋_GB2312"/>
          <w:color w:val="auto"/>
          <w:sz w:val="32"/>
          <w:szCs w:val="32"/>
        </w:rPr>
        <w:t xml:space="preserve">表6 </w:t>
      </w:r>
      <w:r>
        <w:rPr>
          <w:rFonts w:eastAsia="仿宋_GB2312"/>
          <w:color w:val="auto"/>
          <w:sz w:val="32"/>
          <w:szCs w:val="32"/>
        </w:rPr>
        <w:t xml:space="preserve"> </w:t>
      </w:r>
      <w:r>
        <w:rPr>
          <w:rFonts w:hint="eastAsia" w:eastAsia="仿宋_GB2312"/>
          <w:color w:val="auto"/>
          <w:sz w:val="32"/>
          <w:szCs w:val="32"/>
        </w:rPr>
        <w:t>直接接触食品的金属包装（无涂层）检验项目</w:t>
      </w:r>
    </w:p>
    <w:tbl>
      <w:tblPr>
        <w:tblStyle w:val="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5"/>
        <w:gridCol w:w="2267"/>
        <w:gridCol w:w="2406"/>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444" w:type="pct"/>
            <w:noWrap w:val="0"/>
            <w:vAlign w:val="center"/>
          </w:tcPr>
          <w:p>
            <w:pPr>
              <w:adjustRightInd w:val="0"/>
              <w:snapToGrid w:val="0"/>
              <w:spacing w:line="400" w:lineRule="exact"/>
              <w:jc w:val="center"/>
              <w:rPr>
                <w:rFonts w:eastAsia="黑体"/>
                <w:color w:val="auto"/>
                <w:sz w:val="24"/>
              </w:rPr>
            </w:pPr>
            <w:r>
              <w:rPr>
                <w:rFonts w:eastAsia="黑体"/>
                <w:color w:val="auto"/>
                <w:sz w:val="24"/>
              </w:rPr>
              <w:t>序号</w:t>
            </w:r>
          </w:p>
        </w:tc>
        <w:tc>
          <w:tcPr>
            <w:tcW w:w="1235" w:type="pct"/>
            <w:noWrap w:val="0"/>
            <w:vAlign w:val="center"/>
          </w:tcPr>
          <w:p>
            <w:pPr>
              <w:adjustRightInd w:val="0"/>
              <w:snapToGrid w:val="0"/>
              <w:spacing w:line="400" w:lineRule="exact"/>
              <w:jc w:val="center"/>
              <w:rPr>
                <w:rFonts w:eastAsia="黑体"/>
                <w:color w:val="auto"/>
                <w:sz w:val="24"/>
              </w:rPr>
            </w:pPr>
            <w:r>
              <w:rPr>
                <w:rFonts w:eastAsia="黑体"/>
                <w:color w:val="auto"/>
                <w:sz w:val="24"/>
              </w:rPr>
              <w:t>检验项目</w:t>
            </w:r>
          </w:p>
        </w:tc>
        <w:tc>
          <w:tcPr>
            <w:tcW w:w="1311" w:type="pct"/>
            <w:noWrap w:val="0"/>
            <w:vAlign w:val="center"/>
          </w:tcPr>
          <w:p>
            <w:pPr>
              <w:adjustRightInd w:val="0"/>
              <w:snapToGrid w:val="0"/>
              <w:spacing w:line="400" w:lineRule="exact"/>
              <w:jc w:val="center"/>
              <w:rPr>
                <w:rFonts w:eastAsia="黑体"/>
                <w:color w:val="auto"/>
                <w:sz w:val="24"/>
              </w:rPr>
            </w:pPr>
            <w:r>
              <w:rPr>
                <w:rFonts w:eastAsia="黑体"/>
                <w:color w:val="auto"/>
                <w:sz w:val="24"/>
              </w:rPr>
              <w:t>检验依据</w:t>
            </w:r>
          </w:p>
        </w:tc>
        <w:tc>
          <w:tcPr>
            <w:tcW w:w="2008" w:type="pct"/>
            <w:noWrap w:val="0"/>
            <w:vAlign w:val="center"/>
          </w:tcPr>
          <w:p>
            <w:pPr>
              <w:adjustRightInd w:val="0"/>
              <w:snapToGrid w:val="0"/>
              <w:spacing w:line="400" w:lineRule="exact"/>
              <w:jc w:val="center"/>
              <w:rPr>
                <w:rFonts w:eastAsia="黑体"/>
                <w:color w:val="auto"/>
                <w:sz w:val="24"/>
              </w:rPr>
            </w:pPr>
            <w:r>
              <w:rPr>
                <w:rFonts w:eastAsia="黑体"/>
                <w:color w:val="auto"/>
                <w:sz w:val="24"/>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1</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感官要求</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w:t>
            </w:r>
            <w:r>
              <w:rPr>
                <w:rFonts w:hint="eastAsia" w:ascii="仿宋_GB2312" w:hAnsi="仿宋_GB2312" w:eastAsia="仿宋_GB2312" w:cs="仿宋_GB2312"/>
                <w:color w:val="auto"/>
                <w:sz w:val="24"/>
                <w:lang w:val="en-US" w:eastAsia="zh-CN"/>
              </w:rPr>
              <w:t>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w:t>
            </w:r>
            <w:r>
              <w:rPr>
                <w:rFonts w:hint="eastAsia" w:ascii="仿宋_GB2312" w:hAnsi="仿宋_GB2312" w:eastAsia="仿宋_GB2312" w:cs="仿宋_GB2312"/>
                <w:color w:val="auto"/>
                <w:sz w:val="24"/>
                <w:lang w:val="en-US" w:eastAsia="zh-CN"/>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2</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砷</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hint="eastAsia" w:ascii="仿宋_GB2312" w:hAnsi="仿宋_GB2312" w:eastAsia="仿宋_GB2312" w:cs="仿宋_GB2312"/>
                <w:color w:val="auto"/>
                <w:sz w:val="24"/>
              </w:rPr>
            </w:pPr>
            <w:r>
              <w:rPr>
                <w:rFonts w:ascii="仿宋_GB2312" w:hAnsi="仿宋_GB2312" w:eastAsia="仿宋_GB2312" w:cs="仿宋_GB2312"/>
                <w:color w:val="auto"/>
                <w:sz w:val="24"/>
              </w:rPr>
              <w:t>GB 31604.38—2016第二部分或</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w:t>
            </w:r>
            <w:r>
              <w:rPr>
                <w:rFonts w:hint="eastAsia" w:ascii="仿宋_GB2312" w:hAnsi="仿宋_GB2312" w:eastAsia="仿宋_GB2312" w:cs="仿宋_GB2312"/>
                <w:color w:val="auto"/>
                <w:sz w:val="24"/>
              </w:rPr>
              <w:t>16</w:t>
            </w:r>
            <w:r>
              <w:rPr>
                <w:rFonts w:ascii="仿宋_GB2312" w:hAnsi="仿宋_GB2312" w:eastAsia="仿宋_GB2312" w:cs="仿宋_GB2312"/>
                <w:color w:val="auto"/>
                <w:sz w:val="24"/>
              </w:rPr>
              <w:t xml:space="preserve"> 第二</w:t>
            </w:r>
            <w:r>
              <w:rPr>
                <w:rFonts w:hint="eastAsia" w:ascii="仿宋_GB2312" w:hAnsi="仿宋_GB2312" w:eastAsia="仿宋_GB2312" w:cs="仿宋_GB2312"/>
                <w:color w:val="auto"/>
                <w:sz w:val="24"/>
              </w:rPr>
              <w:t>部分</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3</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镉</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hint="eastAsia" w:ascii="仿宋_GB2312" w:hAnsi="仿宋_GB2312" w:eastAsia="仿宋_GB2312" w:cs="仿宋_GB2312"/>
                <w:color w:val="auto"/>
                <w:sz w:val="24"/>
              </w:rPr>
            </w:pPr>
            <w:r>
              <w:rPr>
                <w:rFonts w:ascii="仿宋_GB2312" w:hAnsi="仿宋_GB2312" w:eastAsia="仿宋_GB2312" w:cs="仿宋_GB2312"/>
                <w:color w:val="auto"/>
                <w:sz w:val="24"/>
              </w:rPr>
              <w:t>GB 31604.24—2016或</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w:t>
            </w:r>
            <w:r>
              <w:rPr>
                <w:rFonts w:hint="eastAsia" w:ascii="仿宋_GB2312" w:hAnsi="仿宋_GB2312" w:eastAsia="仿宋_GB2312" w:cs="仿宋_GB2312"/>
                <w:color w:val="auto"/>
                <w:sz w:val="24"/>
              </w:rPr>
              <w:t>16</w:t>
            </w:r>
            <w:r>
              <w:rPr>
                <w:rFonts w:ascii="仿宋_GB2312" w:hAnsi="仿宋_GB2312" w:eastAsia="仿宋_GB2312" w:cs="仿宋_GB2312"/>
                <w:color w:val="auto"/>
                <w:sz w:val="24"/>
              </w:rPr>
              <w:t xml:space="preserve"> 第二</w:t>
            </w:r>
            <w:r>
              <w:rPr>
                <w:rFonts w:hint="eastAsia" w:ascii="仿宋_GB2312" w:hAnsi="仿宋_GB2312" w:eastAsia="仿宋_GB2312" w:cs="仿宋_GB2312"/>
                <w:color w:val="auto"/>
                <w:sz w:val="24"/>
              </w:rPr>
              <w:t>部分</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 xml:space="preserve">GB 31604.49—2023 第二篇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4</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铅</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hint="eastAsia" w:ascii="仿宋_GB2312" w:hAnsi="仿宋_GB2312" w:eastAsia="仿宋_GB2312" w:cs="仿宋_GB2312"/>
                <w:color w:val="auto"/>
                <w:sz w:val="24"/>
              </w:rPr>
            </w:pPr>
            <w:r>
              <w:rPr>
                <w:rFonts w:ascii="仿宋_GB2312" w:hAnsi="仿宋_GB2312" w:eastAsia="仿宋_GB2312" w:cs="仿宋_GB2312"/>
                <w:color w:val="auto"/>
                <w:sz w:val="24"/>
              </w:rPr>
              <w:t>GB 31604.34—2016第二部分或</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w:t>
            </w:r>
            <w:r>
              <w:rPr>
                <w:rFonts w:hint="eastAsia" w:ascii="仿宋_GB2312" w:hAnsi="仿宋_GB2312" w:eastAsia="仿宋_GB2312" w:cs="仿宋_GB2312"/>
                <w:color w:val="auto"/>
                <w:sz w:val="24"/>
              </w:rPr>
              <w:t>16</w:t>
            </w:r>
            <w:r>
              <w:rPr>
                <w:rFonts w:ascii="仿宋_GB2312" w:hAnsi="仿宋_GB2312" w:eastAsia="仿宋_GB2312" w:cs="仿宋_GB2312"/>
                <w:color w:val="auto"/>
                <w:sz w:val="24"/>
              </w:rPr>
              <w:t xml:space="preserve"> 第二</w:t>
            </w:r>
            <w:r>
              <w:rPr>
                <w:rFonts w:hint="eastAsia" w:ascii="仿宋_GB2312" w:hAnsi="仿宋_GB2312" w:eastAsia="仿宋_GB2312" w:cs="仿宋_GB2312"/>
                <w:color w:val="auto"/>
                <w:sz w:val="24"/>
              </w:rPr>
              <w:t>部分</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5</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铬</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hint="eastAsia" w:ascii="仿宋_GB2312" w:hAnsi="仿宋_GB2312" w:eastAsia="仿宋_GB2312" w:cs="仿宋_GB2312"/>
                <w:color w:val="auto"/>
                <w:sz w:val="24"/>
              </w:rPr>
            </w:pPr>
            <w:r>
              <w:rPr>
                <w:rFonts w:ascii="仿宋_GB2312" w:hAnsi="仿宋_GB2312" w:eastAsia="仿宋_GB2312" w:cs="仿宋_GB2312"/>
                <w:color w:val="auto"/>
                <w:sz w:val="24"/>
              </w:rPr>
              <w:t>GB 31604.</w:t>
            </w:r>
            <w:r>
              <w:rPr>
                <w:rFonts w:hint="eastAsia" w:ascii="仿宋_GB2312" w:hAnsi="仿宋_GB2312" w:eastAsia="仿宋_GB2312" w:cs="仿宋_GB2312"/>
                <w:color w:val="auto"/>
                <w:sz w:val="24"/>
                <w:lang w:val="en-US" w:eastAsia="zh-CN"/>
              </w:rPr>
              <w:t>25</w:t>
            </w:r>
            <w:r>
              <w:rPr>
                <w:rFonts w:ascii="仿宋_GB2312" w:hAnsi="仿宋_GB2312" w:eastAsia="仿宋_GB2312" w:cs="仿宋_GB2312"/>
                <w:color w:val="auto"/>
                <w:sz w:val="24"/>
              </w:rPr>
              <w:t>—2016或</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w:t>
            </w:r>
            <w:r>
              <w:rPr>
                <w:rFonts w:hint="eastAsia" w:ascii="仿宋_GB2312" w:hAnsi="仿宋_GB2312" w:eastAsia="仿宋_GB2312" w:cs="仿宋_GB2312"/>
                <w:color w:val="auto"/>
                <w:sz w:val="24"/>
              </w:rPr>
              <w:t>16</w:t>
            </w:r>
            <w:r>
              <w:rPr>
                <w:rFonts w:ascii="仿宋_GB2312" w:hAnsi="仿宋_GB2312" w:eastAsia="仿宋_GB2312" w:cs="仿宋_GB2312"/>
                <w:color w:val="auto"/>
                <w:sz w:val="24"/>
              </w:rPr>
              <w:t xml:space="preserve"> 第二</w:t>
            </w:r>
            <w:r>
              <w:rPr>
                <w:rFonts w:hint="eastAsia" w:ascii="仿宋_GB2312" w:hAnsi="仿宋_GB2312" w:eastAsia="仿宋_GB2312" w:cs="仿宋_GB2312"/>
                <w:color w:val="auto"/>
                <w:sz w:val="24"/>
              </w:rPr>
              <w:t>部分</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6</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镍</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hint="eastAsia" w:ascii="仿宋_GB2312" w:hAnsi="仿宋_GB2312" w:eastAsia="仿宋_GB2312" w:cs="仿宋_GB2312"/>
                <w:color w:val="auto"/>
                <w:sz w:val="24"/>
              </w:rPr>
            </w:pPr>
            <w:r>
              <w:rPr>
                <w:rFonts w:ascii="仿宋_GB2312" w:hAnsi="仿宋_GB2312" w:eastAsia="仿宋_GB2312" w:cs="仿宋_GB2312"/>
                <w:color w:val="auto"/>
                <w:sz w:val="24"/>
              </w:rPr>
              <w:t>GB 31604.</w:t>
            </w:r>
            <w:r>
              <w:rPr>
                <w:rFonts w:hint="eastAsia" w:ascii="仿宋_GB2312" w:hAnsi="仿宋_GB2312" w:eastAsia="仿宋_GB2312" w:cs="仿宋_GB2312"/>
                <w:color w:val="auto"/>
                <w:sz w:val="24"/>
                <w:lang w:val="en-US" w:eastAsia="zh-CN"/>
              </w:rPr>
              <w:t>33</w:t>
            </w:r>
            <w:r>
              <w:rPr>
                <w:rFonts w:ascii="仿宋_GB2312" w:hAnsi="仿宋_GB2312" w:eastAsia="仿宋_GB2312" w:cs="仿宋_GB2312"/>
                <w:color w:val="auto"/>
                <w:sz w:val="24"/>
              </w:rPr>
              <w:t>—2016或</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w:t>
            </w:r>
            <w:r>
              <w:rPr>
                <w:rFonts w:hint="eastAsia" w:ascii="仿宋_GB2312" w:hAnsi="仿宋_GB2312" w:eastAsia="仿宋_GB2312" w:cs="仿宋_GB2312"/>
                <w:color w:val="auto"/>
                <w:sz w:val="24"/>
              </w:rPr>
              <w:t>16</w:t>
            </w:r>
            <w:r>
              <w:rPr>
                <w:rFonts w:ascii="仿宋_GB2312" w:hAnsi="仿宋_GB2312" w:eastAsia="仿宋_GB2312" w:cs="仿宋_GB2312"/>
                <w:color w:val="auto"/>
                <w:sz w:val="24"/>
              </w:rPr>
              <w:t xml:space="preserve"> 第二</w:t>
            </w:r>
            <w:r>
              <w:rPr>
                <w:rFonts w:hint="eastAsia" w:ascii="仿宋_GB2312" w:hAnsi="仿宋_GB2312" w:eastAsia="仿宋_GB2312" w:cs="仿宋_GB2312"/>
                <w:color w:val="auto"/>
                <w:sz w:val="24"/>
              </w:rPr>
              <w:t>部分</w:t>
            </w:r>
          </w:p>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7</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锑</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8</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铝</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9</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钴</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1</w:t>
            </w:r>
            <w:r>
              <w:rPr>
                <w:rFonts w:ascii="仿宋_GB2312" w:hAnsi="仿宋_GB2312" w:eastAsia="仿宋_GB2312" w:cs="仿宋_GB2312"/>
                <w:color w:val="auto"/>
                <w:sz w:val="24"/>
              </w:rPr>
              <w:t>0</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铜</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1</w:t>
            </w:r>
            <w:r>
              <w:rPr>
                <w:rFonts w:ascii="仿宋_GB2312" w:hAnsi="仿宋_GB2312" w:eastAsia="仿宋_GB2312" w:cs="仿宋_GB2312"/>
                <w:color w:val="auto"/>
                <w:sz w:val="24"/>
              </w:rPr>
              <w:t>1</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锰</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1</w:t>
            </w:r>
            <w:r>
              <w:rPr>
                <w:rFonts w:ascii="仿宋_GB2312" w:hAnsi="仿宋_GB2312" w:eastAsia="仿宋_GB2312" w:cs="仿宋_GB2312"/>
                <w:color w:val="auto"/>
                <w:sz w:val="24"/>
              </w:rPr>
              <w:t>2</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钼</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1</w:t>
            </w:r>
            <w:r>
              <w:rPr>
                <w:rFonts w:ascii="仿宋_GB2312" w:hAnsi="仿宋_GB2312" w:eastAsia="仿宋_GB2312" w:cs="仿宋_GB2312"/>
                <w:color w:val="auto"/>
                <w:sz w:val="24"/>
              </w:rPr>
              <w:t>3</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锡</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44"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1</w:t>
            </w:r>
            <w:r>
              <w:rPr>
                <w:rFonts w:ascii="仿宋_GB2312" w:hAnsi="仿宋_GB2312" w:eastAsia="仿宋_GB2312" w:cs="仿宋_GB2312"/>
                <w:color w:val="auto"/>
                <w:sz w:val="24"/>
              </w:rPr>
              <w:t>4</w:t>
            </w:r>
          </w:p>
        </w:tc>
        <w:tc>
          <w:tcPr>
            <w:tcW w:w="1235"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锌</w:t>
            </w:r>
          </w:p>
        </w:tc>
        <w:tc>
          <w:tcPr>
            <w:tcW w:w="1311" w:type="pct"/>
            <w:noWrap w:val="0"/>
            <w:vAlign w:val="center"/>
          </w:tcPr>
          <w:p>
            <w:pPr>
              <w:adjustRightInd w:val="0"/>
              <w:snapToGrid w:val="0"/>
              <w:jc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rPr>
              <w:t>GB 4806.9—2023</w:t>
            </w:r>
          </w:p>
        </w:tc>
        <w:tc>
          <w:tcPr>
            <w:tcW w:w="2008" w:type="pct"/>
            <w:noWrap w:val="0"/>
            <w:vAlign w:val="center"/>
          </w:tcPr>
          <w:p>
            <w:pPr>
              <w:adjustRightInd w:val="0"/>
              <w:snapToGrid w:val="0"/>
              <w:jc w:val="center"/>
              <w:rPr>
                <w:rFonts w:ascii="仿宋_GB2312" w:hAnsi="仿宋_GB2312" w:eastAsia="仿宋_GB2312" w:cs="仿宋_GB2312"/>
                <w:color w:val="auto"/>
                <w:sz w:val="24"/>
              </w:rPr>
            </w:pPr>
            <w:r>
              <w:rPr>
                <w:rFonts w:ascii="仿宋_GB2312" w:hAnsi="仿宋_GB2312" w:eastAsia="仿宋_GB2312" w:cs="仿宋_GB2312"/>
                <w:color w:val="auto"/>
                <w:sz w:val="24"/>
              </w:rPr>
              <w:t>GB 31604.49—2023 第二篇</w:t>
            </w:r>
          </w:p>
        </w:tc>
      </w:tr>
    </w:tbl>
    <w:p>
      <w:pPr>
        <w:snapToGrid w:val="0"/>
        <w:spacing w:line="440" w:lineRule="exact"/>
        <w:ind w:firstLine="417" w:firstLineChars="199"/>
        <w:rPr>
          <w:rFonts w:hint="eastAsia"/>
          <w:color w:val="auto"/>
          <w:szCs w:val="21"/>
          <w:highlight w:val="yellow"/>
        </w:rPr>
      </w:pPr>
    </w:p>
    <w:p>
      <w:pPr>
        <w:autoSpaceDE w:val="0"/>
        <w:autoSpaceDN w:val="0"/>
        <w:adjustRightInd w:val="0"/>
        <w:spacing w:line="590" w:lineRule="exact"/>
        <w:ind w:firstLine="640" w:firstLineChars="200"/>
        <w:rPr>
          <w:rFonts w:hint="default" w:eastAsia="仿宋_GB2312"/>
          <w:color w:val="auto"/>
          <w:sz w:val="32"/>
          <w:szCs w:val="32"/>
          <w:highlight w:val="none"/>
          <w:lang w:val="en-US" w:eastAsia="zh-CN"/>
        </w:rPr>
      </w:pPr>
      <w:r>
        <w:rPr>
          <w:rFonts w:hint="eastAsia" w:eastAsia="仿宋_GB2312"/>
          <w:color w:val="auto"/>
          <w:sz w:val="32"/>
          <w:szCs w:val="32"/>
          <w:highlight w:val="none"/>
          <w:lang w:val="en-US" w:eastAsia="zh-CN"/>
        </w:rPr>
        <w:t>备注：</w:t>
      </w:r>
      <w:r>
        <w:rPr>
          <w:rFonts w:hint="eastAsia" w:eastAsia="仿宋_GB2312"/>
          <w:color w:val="auto"/>
          <w:sz w:val="32"/>
          <w:szCs w:val="32"/>
          <w:highlight w:val="none"/>
        </w:rPr>
        <w:t>依据 GB 23350《限制商品过度包装要求食品和化妆品》</w:t>
      </w:r>
      <w:r>
        <w:rPr>
          <w:rFonts w:hint="eastAsia" w:eastAsia="仿宋_GB2312"/>
          <w:color w:val="auto"/>
          <w:sz w:val="32"/>
          <w:szCs w:val="32"/>
          <w:highlight w:val="none"/>
          <w:lang w:eastAsia="zh-CN"/>
        </w:rPr>
        <w:t>，</w:t>
      </w:r>
      <w:r>
        <w:rPr>
          <w:rFonts w:hint="eastAsia" w:eastAsia="仿宋_GB2312"/>
          <w:color w:val="auto"/>
          <w:sz w:val="32"/>
          <w:szCs w:val="32"/>
          <w:highlight w:val="none"/>
        </w:rPr>
        <w:t>对月饼</w:t>
      </w:r>
      <w:r>
        <w:rPr>
          <w:rFonts w:hint="eastAsia" w:eastAsia="仿宋_GB2312"/>
          <w:color w:val="auto"/>
          <w:sz w:val="32"/>
          <w:szCs w:val="32"/>
          <w:highlight w:val="none"/>
          <w:lang w:eastAsia="zh-CN"/>
        </w:rPr>
        <w:t>、</w:t>
      </w:r>
      <w:r>
        <w:rPr>
          <w:rFonts w:hint="eastAsia" w:eastAsia="仿宋_GB2312"/>
          <w:color w:val="auto"/>
          <w:sz w:val="32"/>
          <w:szCs w:val="32"/>
          <w:highlight w:val="none"/>
          <w:lang w:val="en-US" w:eastAsia="zh-CN"/>
        </w:rPr>
        <w:t>茶叶</w:t>
      </w:r>
      <w:r>
        <w:rPr>
          <w:rFonts w:hint="eastAsia" w:eastAsia="仿宋_GB2312"/>
          <w:color w:val="auto"/>
          <w:sz w:val="32"/>
          <w:szCs w:val="32"/>
          <w:highlight w:val="none"/>
        </w:rPr>
        <w:t>产品</w:t>
      </w:r>
      <w:r>
        <w:rPr>
          <w:rFonts w:hint="eastAsia" w:eastAsia="仿宋_GB2312"/>
          <w:color w:val="auto"/>
          <w:sz w:val="32"/>
          <w:szCs w:val="32"/>
          <w:highlight w:val="none"/>
          <w:lang w:val="en-US" w:eastAsia="zh-CN"/>
        </w:rPr>
        <w:t>是否涉嫌过度包装情况进行检查</w:t>
      </w:r>
      <w:r>
        <w:rPr>
          <w:rFonts w:hint="eastAsia" w:eastAsia="仿宋_GB2312"/>
          <w:color w:val="auto"/>
          <w:sz w:val="32"/>
          <w:szCs w:val="32"/>
          <w:highlight w:val="none"/>
          <w:lang w:eastAsia="zh-CN"/>
        </w:rPr>
        <w:t>。</w:t>
      </w:r>
    </w:p>
    <w:p>
      <w:pPr>
        <w:autoSpaceDE w:val="0"/>
        <w:autoSpaceDN w:val="0"/>
        <w:adjustRightInd w:val="0"/>
        <w:spacing w:line="590" w:lineRule="exact"/>
        <w:ind w:firstLine="640" w:firstLineChars="200"/>
        <w:rPr>
          <w:rFonts w:eastAsia="仿宋_GB2312"/>
          <w:color w:val="auto"/>
          <w:sz w:val="32"/>
          <w:szCs w:val="32"/>
        </w:rPr>
      </w:pPr>
      <w:r>
        <w:rPr>
          <w:rFonts w:eastAsia="仿宋_GB2312"/>
          <w:color w:val="auto"/>
          <w:sz w:val="32"/>
          <w:szCs w:val="32"/>
        </w:rPr>
        <w:t>执行企业标准、团体标准、地方标准的产品，检验项目参照上述内容执行。</w:t>
      </w:r>
      <w:bookmarkEnd w:id="4"/>
    </w:p>
    <w:p>
      <w:pPr>
        <w:autoSpaceDE w:val="0"/>
        <w:autoSpaceDN w:val="0"/>
        <w:adjustRightInd w:val="0"/>
        <w:spacing w:line="590" w:lineRule="exact"/>
        <w:ind w:firstLine="640" w:firstLineChars="200"/>
        <w:rPr>
          <w:rFonts w:hint="eastAsia" w:eastAsia="仿宋_GB2312"/>
          <w:color w:val="auto"/>
          <w:sz w:val="32"/>
          <w:szCs w:val="32"/>
        </w:rPr>
      </w:pPr>
      <w:r>
        <w:rPr>
          <w:rFonts w:hint="eastAsia" w:eastAsia="仿宋_GB2312"/>
          <w:color w:val="auto"/>
          <w:sz w:val="32"/>
          <w:szCs w:val="32"/>
        </w:rPr>
        <w:t>凡是注日期的文件，其随后所有的修改单（不包括勘误的内容）或修订版不适用于本细则。凡是不注日期的文件，其最新版本适用于本细则。</w:t>
      </w:r>
    </w:p>
    <w:p>
      <w:pPr>
        <w:snapToGrid w:val="0"/>
        <w:spacing w:line="590" w:lineRule="exact"/>
        <w:ind w:firstLine="640" w:firstLineChars="200"/>
        <w:rPr>
          <w:rFonts w:hint="eastAsia" w:eastAsia="黑体"/>
          <w:color w:val="auto"/>
          <w:sz w:val="32"/>
          <w:szCs w:val="32"/>
        </w:rPr>
      </w:pPr>
      <w:r>
        <w:rPr>
          <w:rFonts w:hint="eastAsia" w:eastAsia="黑体"/>
          <w:color w:val="auto"/>
          <w:sz w:val="32"/>
          <w:szCs w:val="32"/>
        </w:rPr>
        <w:t>3 判定规则</w:t>
      </w:r>
    </w:p>
    <w:p>
      <w:pPr>
        <w:adjustRightInd w:val="0"/>
        <w:snapToGrid w:val="0"/>
        <w:spacing w:line="590" w:lineRule="exact"/>
        <w:ind w:firstLine="640" w:firstLineChars="200"/>
        <w:rPr>
          <w:rFonts w:eastAsia="仿宋_GB2312"/>
          <w:color w:val="auto"/>
          <w:sz w:val="32"/>
          <w:szCs w:val="32"/>
        </w:rPr>
      </w:pPr>
      <w:r>
        <w:rPr>
          <w:rFonts w:eastAsia="仿宋_GB2312"/>
          <w:color w:val="auto"/>
          <w:sz w:val="32"/>
          <w:szCs w:val="32"/>
        </w:rPr>
        <w:t>3.1 依据标准</w:t>
      </w:r>
    </w:p>
    <w:p>
      <w:pPr>
        <w:spacing w:line="590" w:lineRule="exact"/>
        <w:ind w:firstLine="640" w:firstLineChars="200"/>
        <w:rPr>
          <w:rFonts w:hint="eastAsia" w:eastAsia="仿宋_GB2312"/>
          <w:color w:val="auto"/>
          <w:sz w:val="32"/>
          <w:szCs w:val="32"/>
          <w:lang w:bidi="ar"/>
        </w:rPr>
      </w:pPr>
      <w:bookmarkStart w:id="13" w:name="OLE_LINK16"/>
      <w:r>
        <w:rPr>
          <w:rFonts w:hint="eastAsia" w:eastAsia="仿宋_GB2312"/>
          <w:color w:val="auto"/>
          <w:sz w:val="32"/>
          <w:szCs w:val="32"/>
          <w:lang w:bidi="ar"/>
        </w:rPr>
        <w:t>GB 4806.7—2023 食品安全国家标准 食品接触用塑料材料及制品</w:t>
      </w:r>
    </w:p>
    <w:p>
      <w:pPr>
        <w:spacing w:line="590" w:lineRule="exact"/>
        <w:ind w:firstLine="640" w:firstLineChars="200"/>
        <w:rPr>
          <w:rFonts w:hint="eastAsia" w:eastAsia="仿宋_GB2312"/>
          <w:color w:val="auto"/>
          <w:sz w:val="32"/>
          <w:szCs w:val="32"/>
          <w:lang w:bidi="ar"/>
        </w:rPr>
      </w:pPr>
      <w:r>
        <w:rPr>
          <w:rFonts w:hint="eastAsia" w:eastAsia="仿宋_GB2312"/>
          <w:color w:val="auto"/>
          <w:sz w:val="32"/>
          <w:szCs w:val="32"/>
          <w:lang w:bidi="ar"/>
        </w:rPr>
        <w:t>GB 4806.8</w:t>
      </w:r>
      <w:bookmarkStart w:id="14" w:name="OLE_LINK29"/>
      <w:r>
        <w:rPr>
          <w:rFonts w:hint="eastAsia" w:eastAsia="仿宋_GB2312"/>
          <w:color w:val="auto"/>
          <w:sz w:val="32"/>
          <w:szCs w:val="32"/>
          <w:lang w:bidi="ar"/>
        </w:rPr>
        <w:t>—</w:t>
      </w:r>
      <w:bookmarkEnd w:id="14"/>
      <w:r>
        <w:rPr>
          <w:rFonts w:hint="eastAsia" w:eastAsia="仿宋_GB2312"/>
          <w:color w:val="auto"/>
          <w:sz w:val="32"/>
          <w:szCs w:val="32"/>
          <w:lang w:bidi="ar"/>
        </w:rPr>
        <w:t>2022 食品安全国家标准 食品接触用纸和纸板材料及制品</w:t>
      </w:r>
    </w:p>
    <w:p>
      <w:pPr>
        <w:spacing w:line="590" w:lineRule="exact"/>
        <w:ind w:firstLine="640" w:firstLineChars="200"/>
        <w:rPr>
          <w:rFonts w:hint="eastAsia" w:eastAsia="仿宋_GB2312"/>
          <w:color w:val="auto"/>
          <w:sz w:val="32"/>
          <w:szCs w:val="32"/>
          <w:lang w:bidi="ar"/>
        </w:rPr>
      </w:pPr>
      <w:r>
        <w:rPr>
          <w:rFonts w:hint="eastAsia" w:eastAsia="仿宋_GB2312"/>
          <w:color w:val="auto"/>
          <w:sz w:val="32"/>
          <w:szCs w:val="32"/>
          <w:lang w:bidi="ar"/>
        </w:rPr>
        <w:t>GB 4806.9—2023 食品安全国家标准  食品接触用金属材料及制品</w:t>
      </w:r>
    </w:p>
    <w:p>
      <w:pPr>
        <w:spacing w:line="590" w:lineRule="exact"/>
        <w:ind w:firstLine="640" w:firstLineChars="200"/>
        <w:rPr>
          <w:rFonts w:hint="eastAsia" w:ascii="宋体" w:hAnsi="宋体" w:cs="宋体"/>
          <w:color w:val="auto"/>
          <w:sz w:val="32"/>
          <w:szCs w:val="32"/>
          <w:lang w:bidi="ar"/>
        </w:rPr>
      </w:pPr>
      <w:bookmarkStart w:id="15" w:name="OLE_LINK2"/>
      <w:r>
        <w:rPr>
          <w:rFonts w:hint="eastAsia" w:eastAsia="仿宋_GB2312"/>
          <w:color w:val="auto"/>
          <w:sz w:val="32"/>
          <w:szCs w:val="32"/>
          <w:lang w:bidi="ar"/>
        </w:rPr>
        <w:t>GB 4806.10—2016 食品安全国家标准 食品接触用</w:t>
      </w:r>
      <w:r>
        <w:rPr>
          <w:rFonts w:hint="eastAsia" w:ascii="宋体" w:hAnsi="宋体" w:cs="宋体"/>
          <w:color w:val="auto"/>
          <w:sz w:val="32"/>
          <w:szCs w:val="32"/>
          <w:lang w:bidi="ar"/>
        </w:rPr>
        <w:t>涂</w:t>
      </w:r>
      <w:r>
        <w:rPr>
          <w:rFonts w:hint="eastAsia" w:ascii="___WRD_EMBED_SUB_38" w:hAnsi="___WRD_EMBED_SUB_38" w:eastAsia="___WRD_EMBED_SUB_38" w:cs="___WRD_EMBED_SUB_38"/>
          <w:color w:val="auto"/>
          <w:sz w:val="32"/>
          <w:szCs w:val="32"/>
          <w:lang w:bidi="ar"/>
        </w:rPr>
        <w:t>料及</w:t>
      </w:r>
      <w:r>
        <w:rPr>
          <w:rFonts w:hint="eastAsia" w:ascii="宋体" w:hAnsi="宋体" w:cs="宋体"/>
          <w:color w:val="auto"/>
          <w:sz w:val="32"/>
          <w:szCs w:val="32"/>
          <w:lang w:bidi="ar"/>
        </w:rPr>
        <w:t>涂层</w:t>
      </w:r>
      <w:bookmarkEnd w:id="15"/>
    </w:p>
    <w:p>
      <w:pPr>
        <w:spacing w:line="590" w:lineRule="exact"/>
        <w:ind w:firstLine="640" w:firstLineChars="200"/>
        <w:rPr>
          <w:rFonts w:hint="eastAsia" w:eastAsia="仿宋_GB2312"/>
          <w:color w:val="auto"/>
          <w:sz w:val="32"/>
          <w:szCs w:val="32"/>
          <w:lang w:bidi="ar"/>
        </w:rPr>
      </w:pPr>
      <w:r>
        <w:rPr>
          <w:rFonts w:hint="eastAsia" w:eastAsia="仿宋_GB2312"/>
          <w:color w:val="auto"/>
          <w:sz w:val="32"/>
          <w:szCs w:val="32"/>
          <w:lang w:bidi="ar"/>
        </w:rPr>
        <w:t>GB 4806.10—20</w:t>
      </w:r>
      <w:r>
        <w:rPr>
          <w:rFonts w:hint="eastAsia" w:eastAsia="仿宋_GB2312"/>
          <w:color w:val="auto"/>
          <w:sz w:val="32"/>
          <w:szCs w:val="32"/>
          <w:lang w:val="en-US" w:eastAsia="zh-CN" w:bidi="ar"/>
        </w:rPr>
        <w:t>25</w:t>
      </w:r>
      <w:r>
        <w:rPr>
          <w:rFonts w:hint="eastAsia" w:eastAsia="仿宋_GB2312"/>
          <w:color w:val="auto"/>
          <w:sz w:val="32"/>
          <w:szCs w:val="32"/>
          <w:lang w:bidi="ar"/>
        </w:rPr>
        <w:t xml:space="preserve"> 食品安全国家标准 食品接触</w:t>
      </w:r>
      <w:r>
        <w:rPr>
          <w:rFonts w:hint="eastAsia" w:eastAsia="仿宋_GB2312"/>
          <w:color w:val="auto"/>
          <w:sz w:val="32"/>
          <w:szCs w:val="32"/>
          <w:lang w:eastAsia="zh-CN" w:bidi="ar"/>
        </w:rPr>
        <w:t>材料及制品</w:t>
      </w:r>
      <w:r>
        <w:rPr>
          <w:rFonts w:hint="eastAsia" w:eastAsia="仿宋_GB2312"/>
          <w:color w:val="auto"/>
          <w:sz w:val="32"/>
          <w:szCs w:val="32"/>
          <w:lang w:bidi="ar"/>
        </w:rPr>
        <w:t>用涂料及涂层</w:t>
      </w:r>
    </w:p>
    <w:p>
      <w:pPr>
        <w:spacing w:line="590" w:lineRule="exact"/>
        <w:ind w:firstLine="640" w:firstLineChars="200"/>
        <w:rPr>
          <w:rFonts w:hint="eastAsia" w:eastAsia="仿宋_GB2312"/>
          <w:color w:val="auto"/>
          <w:sz w:val="32"/>
          <w:szCs w:val="32"/>
          <w:lang w:bidi="ar"/>
        </w:rPr>
      </w:pPr>
      <w:r>
        <w:rPr>
          <w:rFonts w:hint="eastAsia" w:eastAsia="仿宋_GB2312"/>
          <w:color w:val="auto"/>
          <w:sz w:val="32"/>
          <w:szCs w:val="32"/>
          <w:lang w:bidi="ar"/>
        </w:rPr>
        <w:t>GB 4806.13—2023 食品安全国家标准 食品接触用复合材料及制品</w:t>
      </w:r>
    </w:p>
    <w:p>
      <w:pPr>
        <w:spacing w:line="590" w:lineRule="exact"/>
        <w:ind w:firstLine="640" w:firstLineChars="200"/>
        <w:rPr>
          <w:rFonts w:hint="eastAsia" w:eastAsia="仿宋_GB2312"/>
          <w:color w:val="auto"/>
          <w:sz w:val="32"/>
          <w:szCs w:val="32"/>
          <w:lang w:bidi="ar"/>
        </w:rPr>
      </w:pPr>
      <w:r>
        <w:rPr>
          <w:rFonts w:hint="eastAsia" w:eastAsia="仿宋_GB2312"/>
          <w:color w:val="auto"/>
          <w:sz w:val="32"/>
          <w:szCs w:val="32"/>
          <w:lang w:bidi="ar"/>
        </w:rPr>
        <w:t>GB 9685—2016 食品安全国家标准 食品接触材料及制品用添加剂使用标准</w:t>
      </w:r>
    </w:p>
    <w:p>
      <w:pPr>
        <w:spacing w:line="590" w:lineRule="exact"/>
        <w:ind w:firstLine="640" w:firstLineChars="200"/>
        <w:rPr>
          <w:rFonts w:hint="eastAsia" w:eastAsia="仿宋_GB2312"/>
          <w:color w:val="auto"/>
          <w:sz w:val="32"/>
          <w:szCs w:val="32"/>
          <w:lang w:bidi="ar"/>
        </w:rPr>
      </w:pPr>
      <w:r>
        <w:rPr>
          <w:rFonts w:hint="eastAsia" w:eastAsia="仿宋_GB2312"/>
          <w:color w:val="auto"/>
          <w:sz w:val="32"/>
          <w:szCs w:val="32"/>
          <w:lang w:bidi="ar"/>
        </w:rPr>
        <w:t>GB 23350—2021限制商品过度包装要求 食品和化妆品（含第1、2号修改单）</w:t>
      </w:r>
    </w:p>
    <w:p>
      <w:pPr>
        <w:spacing w:line="590" w:lineRule="exact"/>
        <w:ind w:firstLine="640" w:firstLineChars="200"/>
        <w:rPr>
          <w:rFonts w:eastAsia="仿宋_GB2312"/>
          <w:color w:val="auto"/>
          <w:sz w:val="32"/>
          <w:szCs w:val="32"/>
          <w:lang w:bidi="ar"/>
        </w:rPr>
      </w:pPr>
      <w:r>
        <w:rPr>
          <w:rFonts w:eastAsia="仿宋_GB2312"/>
          <w:color w:val="auto"/>
          <w:sz w:val="32"/>
          <w:szCs w:val="32"/>
          <w:lang w:bidi="ar"/>
        </w:rPr>
        <w:t>现行有效的企业标准、团体标准、地方标准及产品明示质量要求</w:t>
      </w:r>
    </w:p>
    <w:bookmarkEnd w:id="13"/>
    <w:p>
      <w:pPr>
        <w:adjustRightInd w:val="0"/>
        <w:snapToGrid w:val="0"/>
        <w:spacing w:line="590" w:lineRule="exact"/>
        <w:ind w:firstLine="640" w:firstLineChars="200"/>
        <w:rPr>
          <w:rFonts w:eastAsia="仿宋_GB2312"/>
          <w:color w:val="auto"/>
          <w:sz w:val="32"/>
          <w:szCs w:val="32"/>
        </w:rPr>
      </w:pPr>
      <w:r>
        <w:rPr>
          <w:rFonts w:eastAsia="仿宋_GB2312"/>
          <w:color w:val="auto"/>
          <w:sz w:val="32"/>
          <w:szCs w:val="32"/>
        </w:rPr>
        <w:t>3.2</w:t>
      </w:r>
      <w:bookmarkStart w:id="16" w:name="OLE_LINK17"/>
      <w:r>
        <w:rPr>
          <w:rFonts w:eastAsia="仿宋_GB2312"/>
          <w:color w:val="auto"/>
          <w:sz w:val="32"/>
          <w:szCs w:val="32"/>
        </w:rPr>
        <w:t>判定原则</w:t>
      </w:r>
      <w:bookmarkEnd w:id="16"/>
    </w:p>
    <w:p>
      <w:pPr>
        <w:spacing w:line="590" w:lineRule="exact"/>
        <w:ind w:firstLine="640" w:firstLineChars="200"/>
        <w:rPr>
          <w:rFonts w:eastAsia="仿宋_GB2312"/>
          <w:color w:val="auto"/>
          <w:sz w:val="32"/>
          <w:szCs w:val="32"/>
        </w:rPr>
      </w:pPr>
      <w:r>
        <w:rPr>
          <w:rFonts w:eastAsia="仿宋_GB2312"/>
          <w:color w:val="auto"/>
          <w:sz w:val="32"/>
          <w:szCs w:val="32"/>
        </w:rPr>
        <w:t>经检验，检验项目全部合格，判定为被抽查产品</w:t>
      </w:r>
      <w:r>
        <w:rPr>
          <w:rFonts w:hint="eastAsia" w:eastAsia="仿宋_GB2312"/>
          <w:color w:val="auto"/>
          <w:sz w:val="32"/>
          <w:szCs w:val="32"/>
        </w:rPr>
        <w:t>所检项目未发现不</w:t>
      </w:r>
      <w:r>
        <w:rPr>
          <w:rFonts w:eastAsia="仿宋_GB2312"/>
          <w:color w:val="auto"/>
          <w:sz w:val="32"/>
          <w:szCs w:val="32"/>
        </w:rPr>
        <w:t>合格；检验项目中任一项或一项以上不合格，判定为被抽查产品不合格。</w:t>
      </w:r>
    </w:p>
    <w:p>
      <w:pPr>
        <w:spacing w:line="590" w:lineRule="exact"/>
        <w:ind w:firstLine="640" w:firstLineChars="200"/>
        <w:rPr>
          <w:rFonts w:eastAsia="仿宋_GB2312"/>
          <w:color w:val="auto"/>
          <w:sz w:val="32"/>
          <w:szCs w:val="32"/>
        </w:rPr>
      </w:pPr>
      <w:r>
        <w:rPr>
          <w:rFonts w:eastAsia="仿宋_GB2312"/>
          <w:color w:val="auto"/>
          <w:sz w:val="32"/>
          <w:szCs w:val="32"/>
        </w:rPr>
        <w:t>若被检产品明示的质量要求高于本细则中检验项目依据的标准要求时，应按被检产品明示的质量要求判定。</w:t>
      </w:r>
    </w:p>
    <w:p>
      <w:pPr>
        <w:spacing w:line="590" w:lineRule="exact"/>
        <w:ind w:firstLine="640" w:firstLineChars="200"/>
        <w:rPr>
          <w:rFonts w:eastAsia="仿宋_GB2312"/>
          <w:color w:val="auto"/>
          <w:sz w:val="32"/>
          <w:szCs w:val="32"/>
        </w:rPr>
      </w:pPr>
      <w:r>
        <w:rPr>
          <w:rFonts w:eastAsia="仿宋_GB2312"/>
          <w:color w:val="auto"/>
          <w:sz w:val="32"/>
          <w:szCs w:val="32"/>
        </w:rPr>
        <w:t>若被检产品明示的质量要求低于本细则中检验项目依据的强制性标准要求时，应按照强制性标准要求判定。</w:t>
      </w:r>
    </w:p>
    <w:p>
      <w:pPr>
        <w:spacing w:line="590" w:lineRule="exact"/>
        <w:ind w:firstLine="640" w:firstLineChars="200"/>
        <w:rPr>
          <w:rFonts w:eastAsia="仿宋_GB2312"/>
          <w:color w:val="auto"/>
          <w:sz w:val="32"/>
          <w:szCs w:val="32"/>
        </w:rPr>
      </w:pPr>
      <w:r>
        <w:rPr>
          <w:rFonts w:eastAsia="仿宋_GB2312"/>
          <w:color w:val="auto"/>
          <w:sz w:val="32"/>
          <w:szCs w:val="32"/>
        </w:rPr>
        <w:t>若被检产品明示的质量要求低于或包含本细则中检验项目依据的推荐性标准要求时，应以被检产品明示的质量要求判定。</w:t>
      </w:r>
    </w:p>
    <w:p>
      <w:pPr>
        <w:spacing w:line="590" w:lineRule="exact"/>
        <w:ind w:firstLine="640" w:firstLineChars="200"/>
        <w:rPr>
          <w:rFonts w:eastAsia="仿宋_GB2312"/>
          <w:color w:val="auto"/>
          <w:sz w:val="32"/>
          <w:szCs w:val="32"/>
        </w:rPr>
      </w:pPr>
      <w:r>
        <w:rPr>
          <w:rFonts w:eastAsia="仿宋_GB2312"/>
          <w:color w:val="auto"/>
          <w:sz w:val="32"/>
          <w:szCs w:val="32"/>
        </w:rPr>
        <w:t>若被检产品明示的质量要求缺少本细则中检验项目依据的强制性标准要求时，应按照强制性标准要求判定。</w:t>
      </w:r>
    </w:p>
    <w:p>
      <w:pPr>
        <w:spacing w:line="590" w:lineRule="exact"/>
        <w:ind w:firstLine="640" w:firstLineChars="200"/>
        <w:rPr>
          <w:rFonts w:eastAsia="仿宋_GB2312"/>
          <w:color w:val="auto"/>
          <w:sz w:val="32"/>
          <w:szCs w:val="32"/>
        </w:rPr>
      </w:pPr>
      <w:r>
        <w:rPr>
          <w:rFonts w:eastAsia="仿宋_GB2312"/>
          <w:color w:val="auto"/>
          <w:sz w:val="32"/>
          <w:szCs w:val="32"/>
        </w:rPr>
        <w:t>若被检产品明示的质量要求缺少本细则中检验项目依据的推荐性标准要求时，该项目不参与判定。</w:t>
      </w:r>
    </w:p>
    <w:p>
      <w:pPr>
        <w:spacing w:line="590" w:lineRule="exact"/>
        <w:ind w:firstLine="640" w:firstLineChars="200"/>
        <w:rPr>
          <w:rFonts w:hint="eastAsia" w:eastAsia="仿宋_GB2312"/>
          <w:color w:val="auto"/>
          <w:sz w:val="32"/>
          <w:szCs w:val="32"/>
        </w:rPr>
      </w:pPr>
      <w:bookmarkStart w:id="17" w:name="OLE_LINK18"/>
      <w:r>
        <w:rPr>
          <w:rFonts w:hint="eastAsia" w:eastAsia="仿宋_GB2312"/>
          <w:color w:val="auto"/>
          <w:sz w:val="32"/>
          <w:szCs w:val="32"/>
        </w:rPr>
        <w:t>依据GB 4789.1—2016 《食品安全国家标准 食品微生物学检验 总则》第7.3条规定“检验结果报告后，剩余样品和同批产品不进行微生物项目的复检”，微生物指标不合格不进行复检。</w:t>
      </w:r>
      <w:bookmarkEnd w:id="17"/>
    </w:p>
    <w:p>
      <w:pPr>
        <w:spacing w:line="590" w:lineRule="exact"/>
        <w:ind w:firstLine="640" w:firstLineChars="200"/>
        <w:rPr>
          <w:rFonts w:hint="eastAsia" w:eastAsia="仿宋_GB2312"/>
          <w:color w:val="auto"/>
          <w:sz w:val="32"/>
          <w:szCs w:val="32"/>
        </w:rPr>
      </w:pPr>
      <w:r>
        <w:rPr>
          <w:rFonts w:hint="eastAsia" w:eastAsia="仿宋_GB2312"/>
          <w:color w:val="auto"/>
          <w:sz w:val="32"/>
          <w:szCs w:val="32"/>
        </w:rPr>
        <w:t>因溶剂残留量（溶剂残留量总量和苯类溶剂残留量）易挥发、不稳定等特点，长期存放影响其残留本体含量，故溶剂残留量（溶剂残留量总量和苯类溶剂残留量）项目不合格不进行复检。</w:t>
      </w:r>
    </w:p>
    <w:sectPr>
      <w:headerReference r:id="rId3" w:type="default"/>
      <w:footerReference r:id="rId4" w:type="default"/>
      <w:footerReference r:id="rId5" w:type="even"/>
      <w:pgSz w:w="11906" w:h="16838"/>
      <w:pgMar w:top="1985" w:right="1474" w:bottom="1644" w:left="1474" w:header="851" w:footer="1191"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74E47E8-B605-4D93-9022-D8867B99068A}"/>
  </w:font>
  <w:font w:name="Arial">
    <w:panose1 w:val="020B0604020202020204"/>
    <w:charset w:val="01"/>
    <w:family w:val="swiss"/>
    <w:pitch w:val="default"/>
    <w:sig w:usb0="E0002EFF" w:usb1="C000785B" w:usb2="00000009" w:usb3="00000000" w:csb0="400001FF" w:csb1="FFFF0000"/>
    <w:embedRegular r:id="rId2" w:fontKey="{6B8B1DE5-6D7A-43D1-8292-27B519B090EF}"/>
  </w:font>
  <w:font w:name="黑体">
    <w:panose1 w:val="02010609060101010101"/>
    <w:charset w:val="86"/>
    <w:family w:val="auto"/>
    <w:pitch w:val="default"/>
    <w:sig w:usb0="800002BF" w:usb1="38CF7CFA" w:usb2="00000016" w:usb3="00000000" w:csb0="00040001" w:csb1="00000000"/>
    <w:embedRegular r:id="rId3" w:fontKey="{12873FE2-4FE4-4AAD-AB0E-54AC20031F64}"/>
  </w:font>
  <w:font w:name="Courier New">
    <w:panose1 w:val="02070309020205020404"/>
    <w:charset w:val="01"/>
    <w:family w:val="modern"/>
    <w:pitch w:val="default"/>
    <w:sig w:usb0="E0002EFF" w:usb1="C0007843" w:usb2="00000009" w:usb3="00000000" w:csb0="400001FF" w:csb1="FFFF0000"/>
    <w:embedRegular r:id="rId4" w:fontKey="{30DA3AA7-CFE6-43B2-821C-37AEC4261341}"/>
  </w:font>
  <w:font w:name="Symbol">
    <w:panose1 w:val="05050102010706020507"/>
    <w:charset w:val="02"/>
    <w:family w:val="roman"/>
    <w:pitch w:val="default"/>
    <w:sig w:usb0="00000000" w:usb1="00000000" w:usb2="00000000" w:usb3="00000000" w:csb0="80000000" w:csb1="00000000"/>
    <w:embedRegular r:id="rId5" w:fontKey="{D2EB2505-38DB-4665-AE71-FA586F520F33}"/>
  </w:font>
  <w:font w:name="Calibri">
    <w:panose1 w:val="020F0502020204030204"/>
    <w:charset w:val="00"/>
    <w:family w:val="swiss"/>
    <w:pitch w:val="default"/>
    <w:sig w:usb0="E0002EFF" w:usb1="C000247B" w:usb2="00000009" w:usb3="00000000" w:csb0="200001FF" w:csb1="00000000"/>
    <w:embedRegular r:id="rId6" w:fontKey="{73A09773-681D-4128-9035-5EC7F962BD38}"/>
  </w:font>
  <w:font w:name="方正小标宋简体">
    <w:panose1 w:val="03000509000000000000"/>
    <w:charset w:val="86"/>
    <w:family w:val="script"/>
    <w:pitch w:val="default"/>
    <w:sig w:usb0="00000001" w:usb1="080E0000" w:usb2="00000000" w:usb3="00000000" w:csb0="00040000" w:csb1="00000000"/>
    <w:embedRegular r:id="rId7" w:fontKey="{3508E585-4DBC-44FE-A214-4E60068842E4}"/>
  </w:font>
  <w:font w:name="楷体_GB2312">
    <w:panose1 w:val="02010609030101010101"/>
    <w:charset w:val="86"/>
    <w:family w:val="modern"/>
    <w:pitch w:val="default"/>
    <w:sig w:usb0="00000001" w:usb1="080E0000" w:usb2="00000000" w:usb3="00000000" w:csb0="00040000" w:csb1="00000000"/>
    <w:embedRegular r:id="rId8" w:fontKey="{0EABA233-1AEC-4FD4-88E5-8B0927D5713D}"/>
  </w:font>
  <w:font w:name="仿宋_GB2312">
    <w:panose1 w:val="02010609030101010101"/>
    <w:charset w:val="86"/>
    <w:family w:val="modern"/>
    <w:pitch w:val="default"/>
    <w:sig w:usb0="00000001" w:usb1="080E0000" w:usb2="00000000" w:usb3="00000000" w:csb0="00040000" w:csb1="00000000"/>
    <w:embedRegular r:id="rId9" w:fontKey="{FDE4EF9F-EF32-4786-9E7A-C0359F9EA39C}"/>
  </w:font>
  <w:font w:name="___WRD_EMBED_SUB_38">
    <w:panose1 w:val="02010609030101010101"/>
    <w:charset w:val="86"/>
    <w:family w:val="modern"/>
    <w:pitch w:val="default"/>
    <w:sig w:usb0="00000001" w:usb1="080E0000" w:usb2="00000000" w:usb3="00000000" w:csb0="00040000" w:csb1="00000000"/>
    <w:embedRegular r:id="rId10" w:fontKey="{4E046327-2084-45E6-BBB4-9A3ABF7F0CF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pPr>
    <w:r>
      <w:rPr>
        <w:lang w:val="zh-CN"/>
      </w:rPr>
      <w:fldChar w:fldCharType="begin"/>
    </w:r>
    <w:r>
      <w:rPr>
        <w:lang w:val="zh-CN"/>
      </w:rPr>
      <w:instrText xml:space="preserve"> PAGE   \* MERGEFORMAT </w:instrText>
    </w:r>
    <w:r>
      <w:rPr>
        <w:lang w:val="zh-CN"/>
      </w:rPr>
      <w:fldChar w:fldCharType="separate"/>
    </w:r>
    <w:r>
      <w:t>7</w:t>
    </w:r>
    <w:r>
      <w:rPr>
        <w:lang w:val="zh-CN"/>
      </w:rPr>
      <w:fldChar w:fldCharType="end"/>
    </w:r>
  </w:p>
  <w:p>
    <w:pPr>
      <w:pStyle w:val="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center" w:y="1"/>
      <w:rPr>
        <w:rStyle w:val="11"/>
      </w:rPr>
    </w:pPr>
    <w:r>
      <w:fldChar w:fldCharType="begin"/>
    </w:r>
    <w:r>
      <w:rPr>
        <w:rStyle w:val="11"/>
      </w:rPr>
      <w:instrText xml:space="preserve">PAGE  </w:instrText>
    </w:r>
    <w:r>
      <w:fldChar w:fldCharType="separate"/>
    </w:r>
    <w:r>
      <w:rPr>
        <w:rStyle w:val="11"/>
      </w:rPr>
      <w:t>2</w:t>
    </w:r>
    <w:r>
      <w:fldChar w:fldCharType="end"/>
    </w:r>
  </w:p>
  <w:p>
    <w:pPr>
      <w:pStyle w:val="5"/>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03EADD"/>
    <w:multiLevelType w:val="singleLevel"/>
    <w:tmpl w:val="F303EADD"/>
    <w:lvl w:ilvl="0" w:tentative="0">
      <w:start w:val="1"/>
      <w:numFmt w:val="decimal"/>
      <w:lvlText w:val="%1"/>
      <w:lvlJc w:val="center"/>
      <w:pPr>
        <w:ind w:left="279" w:hanging="137"/>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JlNGU1N2QyMmFiNjJkM2MyMjE3YTViYzNkZjdlMzQifQ=="/>
  </w:docVars>
  <w:rsids>
    <w:rsidRoot w:val="00172A27"/>
    <w:rsid w:val="000015A9"/>
    <w:rsid w:val="0001047A"/>
    <w:rsid w:val="00022CF6"/>
    <w:rsid w:val="00023758"/>
    <w:rsid w:val="00026935"/>
    <w:rsid w:val="000274CE"/>
    <w:rsid w:val="0003640A"/>
    <w:rsid w:val="0004596E"/>
    <w:rsid w:val="00047FC6"/>
    <w:rsid w:val="0005098C"/>
    <w:rsid w:val="00051A44"/>
    <w:rsid w:val="000548AF"/>
    <w:rsid w:val="00063D3D"/>
    <w:rsid w:val="00081CBD"/>
    <w:rsid w:val="000976DE"/>
    <w:rsid w:val="000B55EC"/>
    <w:rsid w:val="000E5E38"/>
    <w:rsid w:val="000E717E"/>
    <w:rsid w:val="000F2AA2"/>
    <w:rsid w:val="000F37E9"/>
    <w:rsid w:val="000F7E84"/>
    <w:rsid w:val="00102325"/>
    <w:rsid w:val="001056ED"/>
    <w:rsid w:val="00105EC6"/>
    <w:rsid w:val="0011307B"/>
    <w:rsid w:val="00116C3C"/>
    <w:rsid w:val="001243CD"/>
    <w:rsid w:val="00132981"/>
    <w:rsid w:val="00147A25"/>
    <w:rsid w:val="001551EB"/>
    <w:rsid w:val="00171CB7"/>
    <w:rsid w:val="001809DD"/>
    <w:rsid w:val="00181A35"/>
    <w:rsid w:val="00181A55"/>
    <w:rsid w:val="00182A23"/>
    <w:rsid w:val="001837C2"/>
    <w:rsid w:val="00183BA1"/>
    <w:rsid w:val="00190EC9"/>
    <w:rsid w:val="001917F5"/>
    <w:rsid w:val="00191A07"/>
    <w:rsid w:val="00192650"/>
    <w:rsid w:val="001A0C2F"/>
    <w:rsid w:val="001A6F1C"/>
    <w:rsid w:val="001B5558"/>
    <w:rsid w:val="001B56EA"/>
    <w:rsid w:val="001B5F40"/>
    <w:rsid w:val="001C4858"/>
    <w:rsid w:val="001D438C"/>
    <w:rsid w:val="001D73A6"/>
    <w:rsid w:val="001E6BF8"/>
    <w:rsid w:val="001F472B"/>
    <w:rsid w:val="0020610D"/>
    <w:rsid w:val="00207556"/>
    <w:rsid w:val="00221A51"/>
    <w:rsid w:val="00223874"/>
    <w:rsid w:val="00224451"/>
    <w:rsid w:val="00253624"/>
    <w:rsid w:val="00287AC1"/>
    <w:rsid w:val="00290104"/>
    <w:rsid w:val="002948D6"/>
    <w:rsid w:val="00297B5B"/>
    <w:rsid w:val="002A6FBA"/>
    <w:rsid w:val="002C3DA2"/>
    <w:rsid w:val="002D5B3E"/>
    <w:rsid w:val="002D5B5F"/>
    <w:rsid w:val="002D7399"/>
    <w:rsid w:val="002D7F8A"/>
    <w:rsid w:val="002E0D1D"/>
    <w:rsid w:val="002E6D5C"/>
    <w:rsid w:val="002F3D0D"/>
    <w:rsid w:val="002F50A5"/>
    <w:rsid w:val="00305122"/>
    <w:rsid w:val="003124E6"/>
    <w:rsid w:val="003203A3"/>
    <w:rsid w:val="003230D0"/>
    <w:rsid w:val="0033291A"/>
    <w:rsid w:val="00336410"/>
    <w:rsid w:val="00336608"/>
    <w:rsid w:val="0033720A"/>
    <w:rsid w:val="00344684"/>
    <w:rsid w:val="00345AB1"/>
    <w:rsid w:val="00361368"/>
    <w:rsid w:val="00361907"/>
    <w:rsid w:val="00365BF5"/>
    <w:rsid w:val="00365D8D"/>
    <w:rsid w:val="00367DBB"/>
    <w:rsid w:val="003777AC"/>
    <w:rsid w:val="003B2D53"/>
    <w:rsid w:val="003C388C"/>
    <w:rsid w:val="003C3A66"/>
    <w:rsid w:val="003D0E6A"/>
    <w:rsid w:val="003D5DA4"/>
    <w:rsid w:val="003E61BF"/>
    <w:rsid w:val="003E7DB0"/>
    <w:rsid w:val="003F3B1F"/>
    <w:rsid w:val="00402003"/>
    <w:rsid w:val="00430680"/>
    <w:rsid w:val="0044058A"/>
    <w:rsid w:val="00445E86"/>
    <w:rsid w:val="00474E04"/>
    <w:rsid w:val="004813C3"/>
    <w:rsid w:val="004869A1"/>
    <w:rsid w:val="00490FB2"/>
    <w:rsid w:val="00493A8E"/>
    <w:rsid w:val="00495B76"/>
    <w:rsid w:val="004A139D"/>
    <w:rsid w:val="004A4412"/>
    <w:rsid w:val="004C2A7B"/>
    <w:rsid w:val="004D0C5A"/>
    <w:rsid w:val="004D5EAC"/>
    <w:rsid w:val="004E1396"/>
    <w:rsid w:val="004E18FD"/>
    <w:rsid w:val="004F6F08"/>
    <w:rsid w:val="00501B95"/>
    <w:rsid w:val="005045DD"/>
    <w:rsid w:val="00513AB2"/>
    <w:rsid w:val="00514563"/>
    <w:rsid w:val="00532019"/>
    <w:rsid w:val="005373A8"/>
    <w:rsid w:val="005400F5"/>
    <w:rsid w:val="00542274"/>
    <w:rsid w:val="005457D0"/>
    <w:rsid w:val="0055424A"/>
    <w:rsid w:val="00563EBC"/>
    <w:rsid w:val="0057395A"/>
    <w:rsid w:val="005B3545"/>
    <w:rsid w:val="005C4DD8"/>
    <w:rsid w:val="005D5520"/>
    <w:rsid w:val="005D72F5"/>
    <w:rsid w:val="005E1265"/>
    <w:rsid w:val="005F1184"/>
    <w:rsid w:val="005F1411"/>
    <w:rsid w:val="00600B60"/>
    <w:rsid w:val="006030D7"/>
    <w:rsid w:val="006036E8"/>
    <w:rsid w:val="006104C5"/>
    <w:rsid w:val="006159A9"/>
    <w:rsid w:val="00633C63"/>
    <w:rsid w:val="00640AFD"/>
    <w:rsid w:val="00640BF1"/>
    <w:rsid w:val="00661D53"/>
    <w:rsid w:val="00662700"/>
    <w:rsid w:val="00670ADB"/>
    <w:rsid w:val="00675453"/>
    <w:rsid w:val="00677AD5"/>
    <w:rsid w:val="00690F38"/>
    <w:rsid w:val="00695D7E"/>
    <w:rsid w:val="006A291E"/>
    <w:rsid w:val="006A6460"/>
    <w:rsid w:val="006E1D18"/>
    <w:rsid w:val="006F0971"/>
    <w:rsid w:val="006F2946"/>
    <w:rsid w:val="006F4FD7"/>
    <w:rsid w:val="006F7827"/>
    <w:rsid w:val="00720142"/>
    <w:rsid w:val="00721601"/>
    <w:rsid w:val="0072334C"/>
    <w:rsid w:val="00732DE4"/>
    <w:rsid w:val="00735FC8"/>
    <w:rsid w:val="007417EB"/>
    <w:rsid w:val="0074311B"/>
    <w:rsid w:val="0074335A"/>
    <w:rsid w:val="00744CB1"/>
    <w:rsid w:val="007478C2"/>
    <w:rsid w:val="007579EB"/>
    <w:rsid w:val="0076100F"/>
    <w:rsid w:val="007652C9"/>
    <w:rsid w:val="00767A3C"/>
    <w:rsid w:val="00781AE7"/>
    <w:rsid w:val="00781BDF"/>
    <w:rsid w:val="007860AE"/>
    <w:rsid w:val="00786D72"/>
    <w:rsid w:val="00791DC4"/>
    <w:rsid w:val="00793E0F"/>
    <w:rsid w:val="007A7087"/>
    <w:rsid w:val="007B0456"/>
    <w:rsid w:val="007B210A"/>
    <w:rsid w:val="007C1A39"/>
    <w:rsid w:val="007C2240"/>
    <w:rsid w:val="007C4C6D"/>
    <w:rsid w:val="007C64C0"/>
    <w:rsid w:val="007C7BA1"/>
    <w:rsid w:val="007E0E4B"/>
    <w:rsid w:val="007F0081"/>
    <w:rsid w:val="007F0B36"/>
    <w:rsid w:val="00807CC3"/>
    <w:rsid w:val="0081383E"/>
    <w:rsid w:val="00833409"/>
    <w:rsid w:val="008376D1"/>
    <w:rsid w:val="00843AFF"/>
    <w:rsid w:val="00843C36"/>
    <w:rsid w:val="008552A8"/>
    <w:rsid w:val="008556B7"/>
    <w:rsid w:val="00855C95"/>
    <w:rsid w:val="008652E0"/>
    <w:rsid w:val="00895BEA"/>
    <w:rsid w:val="008A01F7"/>
    <w:rsid w:val="008A3497"/>
    <w:rsid w:val="008A5984"/>
    <w:rsid w:val="008B5725"/>
    <w:rsid w:val="008C1C1C"/>
    <w:rsid w:val="008D2789"/>
    <w:rsid w:val="008D475C"/>
    <w:rsid w:val="008D60F4"/>
    <w:rsid w:val="008E5E24"/>
    <w:rsid w:val="008F16B7"/>
    <w:rsid w:val="00910BC2"/>
    <w:rsid w:val="00914C73"/>
    <w:rsid w:val="00917485"/>
    <w:rsid w:val="00917A54"/>
    <w:rsid w:val="00934DC2"/>
    <w:rsid w:val="00943F7D"/>
    <w:rsid w:val="00945F09"/>
    <w:rsid w:val="00947E8D"/>
    <w:rsid w:val="00953381"/>
    <w:rsid w:val="009627AE"/>
    <w:rsid w:val="009647F7"/>
    <w:rsid w:val="009753D4"/>
    <w:rsid w:val="009807DF"/>
    <w:rsid w:val="009A3D7A"/>
    <w:rsid w:val="009B05F1"/>
    <w:rsid w:val="009B69C6"/>
    <w:rsid w:val="009C33AE"/>
    <w:rsid w:val="009E13F7"/>
    <w:rsid w:val="009E2CCA"/>
    <w:rsid w:val="009F1111"/>
    <w:rsid w:val="009F2AE5"/>
    <w:rsid w:val="00A143D4"/>
    <w:rsid w:val="00A21AAF"/>
    <w:rsid w:val="00A43553"/>
    <w:rsid w:val="00A4355A"/>
    <w:rsid w:val="00A45C45"/>
    <w:rsid w:val="00A47B5E"/>
    <w:rsid w:val="00A47BAB"/>
    <w:rsid w:val="00A54A81"/>
    <w:rsid w:val="00A63410"/>
    <w:rsid w:val="00A64345"/>
    <w:rsid w:val="00A77531"/>
    <w:rsid w:val="00A871AA"/>
    <w:rsid w:val="00A91134"/>
    <w:rsid w:val="00A920EE"/>
    <w:rsid w:val="00A94A34"/>
    <w:rsid w:val="00AA4481"/>
    <w:rsid w:val="00AA5398"/>
    <w:rsid w:val="00AA5F21"/>
    <w:rsid w:val="00AB0A53"/>
    <w:rsid w:val="00AB2EE9"/>
    <w:rsid w:val="00AD4F8F"/>
    <w:rsid w:val="00AE03B4"/>
    <w:rsid w:val="00AF5276"/>
    <w:rsid w:val="00B04434"/>
    <w:rsid w:val="00B21243"/>
    <w:rsid w:val="00B306F1"/>
    <w:rsid w:val="00B36700"/>
    <w:rsid w:val="00B379BE"/>
    <w:rsid w:val="00B41963"/>
    <w:rsid w:val="00B5091F"/>
    <w:rsid w:val="00B72501"/>
    <w:rsid w:val="00B75246"/>
    <w:rsid w:val="00B81DA5"/>
    <w:rsid w:val="00B8621A"/>
    <w:rsid w:val="00BB7686"/>
    <w:rsid w:val="00BC57C0"/>
    <w:rsid w:val="00BE2B7F"/>
    <w:rsid w:val="00BE3ABD"/>
    <w:rsid w:val="00BE6205"/>
    <w:rsid w:val="00C0103D"/>
    <w:rsid w:val="00C26074"/>
    <w:rsid w:val="00C264CF"/>
    <w:rsid w:val="00C31CA9"/>
    <w:rsid w:val="00C362E6"/>
    <w:rsid w:val="00C4761F"/>
    <w:rsid w:val="00C52632"/>
    <w:rsid w:val="00C548FB"/>
    <w:rsid w:val="00C73067"/>
    <w:rsid w:val="00C73280"/>
    <w:rsid w:val="00C81111"/>
    <w:rsid w:val="00C83B0A"/>
    <w:rsid w:val="00C84641"/>
    <w:rsid w:val="00C9475A"/>
    <w:rsid w:val="00CA082E"/>
    <w:rsid w:val="00CA196F"/>
    <w:rsid w:val="00CB1CE3"/>
    <w:rsid w:val="00CC076A"/>
    <w:rsid w:val="00CC18AF"/>
    <w:rsid w:val="00CC3375"/>
    <w:rsid w:val="00CC5B12"/>
    <w:rsid w:val="00CC6923"/>
    <w:rsid w:val="00CC7E4B"/>
    <w:rsid w:val="00CD6F3B"/>
    <w:rsid w:val="00CD712A"/>
    <w:rsid w:val="00CE1E0C"/>
    <w:rsid w:val="00CE277E"/>
    <w:rsid w:val="00CF409D"/>
    <w:rsid w:val="00D1304F"/>
    <w:rsid w:val="00D14A74"/>
    <w:rsid w:val="00D14B80"/>
    <w:rsid w:val="00D15052"/>
    <w:rsid w:val="00D21E85"/>
    <w:rsid w:val="00D220D2"/>
    <w:rsid w:val="00D5422C"/>
    <w:rsid w:val="00D56867"/>
    <w:rsid w:val="00D60A48"/>
    <w:rsid w:val="00D619C4"/>
    <w:rsid w:val="00D73C3D"/>
    <w:rsid w:val="00D8582B"/>
    <w:rsid w:val="00D92F9D"/>
    <w:rsid w:val="00DB78BE"/>
    <w:rsid w:val="00DD0B5F"/>
    <w:rsid w:val="00DD17CF"/>
    <w:rsid w:val="00DE0E04"/>
    <w:rsid w:val="00DE5AB2"/>
    <w:rsid w:val="00DF55DF"/>
    <w:rsid w:val="00E02A7F"/>
    <w:rsid w:val="00E0734D"/>
    <w:rsid w:val="00E07880"/>
    <w:rsid w:val="00E11B29"/>
    <w:rsid w:val="00E23655"/>
    <w:rsid w:val="00E613B4"/>
    <w:rsid w:val="00E6334A"/>
    <w:rsid w:val="00E70893"/>
    <w:rsid w:val="00E7186D"/>
    <w:rsid w:val="00E74CEC"/>
    <w:rsid w:val="00E75E1C"/>
    <w:rsid w:val="00E76257"/>
    <w:rsid w:val="00E80219"/>
    <w:rsid w:val="00E82621"/>
    <w:rsid w:val="00E92D58"/>
    <w:rsid w:val="00EA74DD"/>
    <w:rsid w:val="00ED05D3"/>
    <w:rsid w:val="00ED0835"/>
    <w:rsid w:val="00ED198C"/>
    <w:rsid w:val="00ED59B9"/>
    <w:rsid w:val="00EE64CC"/>
    <w:rsid w:val="00EE7A94"/>
    <w:rsid w:val="00F017B3"/>
    <w:rsid w:val="00F06779"/>
    <w:rsid w:val="00F07607"/>
    <w:rsid w:val="00F10B0B"/>
    <w:rsid w:val="00F15990"/>
    <w:rsid w:val="00F23798"/>
    <w:rsid w:val="00F319E3"/>
    <w:rsid w:val="00F41BB1"/>
    <w:rsid w:val="00F42DB7"/>
    <w:rsid w:val="00F46835"/>
    <w:rsid w:val="00F5369B"/>
    <w:rsid w:val="00F569A7"/>
    <w:rsid w:val="00F740E3"/>
    <w:rsid w:val="00F77C9A"/>
    <w:rsid w:val="00F94FAF"/>
    <w:rsid w:val="00F96964"/>
    <w:rsid w:val="00F975DD"/>
    <w:rsid w:val="00FA3D23"/>
    <w:rsid w:val="00FB0F8E"/>
    <w:rsid w:val="00FB576C"/>
    <w:rsid w:val="00FD2AA6"/>
    <w:rsid w:val="00FE340F"/>
    <w:rsid w:val="00FE7CAA"/>
    <w:rsid w:val="00FE7E8A"/>
    <w:rsid w:val="00FF1A78"/>
    <w:rsid w:val="00FF6A0B"/>
    <w:rsid w:val="01AC4950"/>
    <w:rsid w:val="039821AC"/>
    <w:rsid w:val="04C66B10"/>
    <w:rsid w:val="070A351A"/>
    <w:rsid w:val="08556CA2"/>
    <w:rsid w:val="086C2678"/>
    <w:rsid w:val="093E52FD"/>
    <w:rsid w:val="0A56740D"/>
    <w:rsid w:val="0A741287"/>
    <w:rsid w:val="0AD72F07"/>
    <w:rsid w:val="0C364685"/>
    <w:rsid w:val="0CF15D7A"/>
    <w:rsid w:val="0F287621"/>
    <w:rsid w:val="0F957EA8"/>
    <w:rsid w:val="11A12541"/>
    <w:rsid w:val="14A82B09"/>
    <w:rsid w:val="15126074"/>
    <w:rsid w:val="15233C15"/>
    <w:rsid w:val="156531AD"/>
    <w:rsid w:val="167113EF"/>
    <w:rsid w:val="1D58483D"/>
    <w:rsid w:val="1E16344F"/>
    <w:rsid w:val="1ED9519B"/>
    <w:rsid w:val="1F2702A6"/>
    <w:rsid w:val="1F594C55"/>
    <w:rsid w:val="20103C28"/>
    <w:rsid w:val="20E97AC1"/>
    <w:rsid w:val="22561186"/>
    <w:rsid w:val="270059CE"/>
    <w:rsid w:val="29C061CA"/>
    <w:rsid w:val="2AB13A08"/>
    <w:rsid w:val="2C4547C9"/>
    <w:rsid w:val="2E00620D"/>
    <w:rsid w:val="2E5B73C5"/>
    <w:rsid w:val="2EF5514D"/>
    <w:rsid w:val="30DB6CFA"/>
    <w:rsid w:val="31F92286"/>
    <w:rsid w:val="32974559"/>
    <w:rsid w:val="335223D6"/>
    <w:rsid w:val="35A5140F"/>
    <w:rsid w:val="35AD7FF4"/>
    <w:rsid w:val="360A4E39"/>
    <w:rsid w:val="377D0B0B"/>
    <w:rsid w:val="37814838"/>
    <w:rsid w:val="37EE39E8"/>
    <w:rsid w:val="38C96BDC"/>
    <w:rsid w:val="38EF056B"/>
    <w:rsid w:val="3CD54432"/>
    <w:rsid w:val="3EAF1744"/>
    <w:rsid w:val="409659B5"/>
    <w:rsid w:val="41BF19B6"/>
    <w:rsid w:val="41FA2C51"/>
    <w:rsid w:val="42AA6967"/>
    <w:rsid w:val="43383AFA"/>
    <w:rsid w:val="44723940"/>
    <w:rsid w:val="447B65CE"/>
    <w:rsid w:val="44BC3B69"/>
    <w:rsid w:val="45974F19"/>
    <w:rsid w:val="469163A7"/>
    <w:rsid w:val="477D33B4"/>
    <w:rsid w:val="49B20448"/>
    <w:rsid w:val="49B70D6E"/>
    <w:rsid w:val="49F30E16"/>
    <w:rsid w:val="4C444F32"/>
    <w:rsid w:val="50A05224"/>
    <w:rsid w:val="51C24519"/>
    <w:rsid w:val="52A93070"/>
    <w:rsid w:val="53F9616F"/>
    <w:rsid w:val="57C655CF"/>
    <w:rsid w:val="59234ECA"/>
    <w:rsid w:val="59A872B0"/>
    <w:rsid w:val="5AC41FE0"/>
    <w:rsid w:val="5BD60CCD"/>
    <w:rsid w:val="5D364BA9"/>
    <w:rsid w:val="5E8B63CF"/>
    <w:rsid w:val="5EBC34AC"/>
    <w:rsid w:val="5FFE2298"/>
    <w:rsid w:val="614242FC"/>
    <w:rsid w:val="624E7103"/>
    <w:rsid w:val="64D8544F"/>
    <w:rsid w:val="64F35035"/>
    <w:rsid w:val="657C1DB9"/>
    <w:rsid w:val="661215AC"/>
    <w:rsid w:val="66E43D3A"/>
    <w:rsid w:val="69897588"/>
    <w:rsid w:val="6EA161A6"/>
    <w:rsid w:val="6EDFEF9F"/>
    <w:rsid w:val="723F116D"/>
    <w:rsid w:val="7277498D"/>
    <w:rsid w:val="73013E9F"/>
    <w:rsid w:val="74051193"/>
    <w:rsid w:val="74151B9C"/>
    <w:rsid w:val="745C7DC6"/>
    <w:rsid w:val="74FE5F14"/>
    <w:rsid w:val="7563754C"/>
    <w:rsid w:val="7609325D"/>
    <w:rsid w:val="76DD066D"/>
    <w:rsid w:val="776FF57E"/>
    <w:rsid w:val="77A46CFC"/>
    <w:rsid w:val="78222740"/>
    <w:rsid w:val="79F16E9E"/>
    <w:rsid w:val="7B5FB069"/>
    <w:rsid w:val="7B6EE281"/>
    <w:rsid w:val="7DC223A1"/>
    <w:rsid w:val="7DE47090"/>
    <w:rsid w:val="7E0E600F"/>
    <w:rsid w:val="7E2E2B2A"/>
    <w:rsid w:val="7F4B3C9F"/>
    <w:rsid w:val="7FE97BD2"/>
    <w:rsid w:val="7FEE72DA"/>
    <w:rsid w:val="B8FF1AF3"/>
    <w:rsid w:val="C9DF6C7A"/>
    <w:rsid w:val="EEA77EEA"/>
    <w:rsid w:val="F7FE0A11"/>
    <w:rsid w:val="F9C77178"/>
    <w:rsid w:val="F9FB5768"/>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qFormat/>
    <w:uiPriority w:val="0"/>
  </w:style>
  <w:style w:type="table" w:default="1" w:styleId="8">
    <w:name w:val="Normal Table"/>
    <w:unhideWhenUsed/>
    <w:qFormat/>
    <w:uiPriority w:val="99"/>
    <w:tblPr>
      <w:tblCellMar>
        <w:top w:w="0" w:type="dxa"/>
        <w:left w:w="108" w:type="dxa"/>
        <w:bottom w:w="0" w:type="dxa"/>
        <w:right w:w="108" w:type="dxa"/>
      </w:tblCellMar>
    </w:tblPr>
  </w:style>
  <w:style w:type="paragraph" w:styleId="2">
    <w:name w:val="Document Map"/>
    <w:basedOn w:val="1"/>
    <w:link w:val="13"/>
    <w:unhideWhenUsed/>
    <w:qFormat/>
    <w:uiPriority w:val="99"/>
    <w:rPr>
      <w:rFonts w:ascii="宋体"/>
      <w:sz w:val="18"/>
      <w:szCs w:val="18"/>
    </w:rPr>
  </w:style>
  <w:style w:type="paragraph" w:styleId="3">
    <w:name w:val="annotation text"/>
    <w:basedOn w:val="1"/>
    <w:link w:val="14"/>
    <w:unhideWhenUsed/>
    <w:qFormat/>
    <w:uiPriority w:val="99"/>
    <w:pPr>
      <w:jc w:val="left"/>
    </w:pPr>
  </w:style>
  <w:style w:type="paragraph" w:styleId="4">
    <w:name w:val="Balloon Text"/>
    <w:basedOn w:val="1"/>
    <w:link w:val="15"/>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18"/>
    <w:unhideWhenUsed/>
    <w:qFormat/>
    <w:uiPriority w:val="99"/>
    <w:rPr>
      <w:b/>
      <w:bCs/>
    </w:rPr>
  </w:style>
  <w:style w:type="table" w:styleId="9">
    <w:name w:val="Table Grid"/>
    <w:basedOn w:val="8"/>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page number"/>
    <w:qFormat/>
    <w:uiPriority w:val="0"/>
  </w:style>
  <w:style w:type="character" w:styleId="12">
    <w:name w:val="annotation reference"/>
    <w:unhideWhenUsed/>
    <w:qFormat/>
    <w:uiPriority w:val="99"/>
    <w:rPr>
      <w:sz w:val="21"/>
      <w:szCs w:val="21"/>
    </w:rPr>
  </w:style>
  <w:style w:type="character" w:customStyle="1" w:styleId="13">
    <w:name w:val="文档结构图 Char"/>
    <w:link w:val="2"/>
    <w:semiHidden/>
    <w:qFormat/>
    <w:uiPriority w:val="99"/>
    <w:rPr>
      <w:rFonts w:ascii="宋体"/>
      <w:kern w:val="2"/>
      <w:sz w:val="18"/>
      <w:szCs w:val="18"/>
    </w:rPr>
  </w:style>
  <w:style w:type="character" w:customStyle="1" w:styleId="14">
    <w:name w:val="批注文字 Char"/>
    <w:link w:val="3"/>
    <w:semiHidden/>
    <w:qFormat/>
    <w:uiPriority w:val="99"/>
    <w:rPr>
      <w:kern w:val="2"/>
      <w:sz w:val="21"/>
      <w:szCs w:val="24"/>
    </w:rPr>
  </w:style>
  <w:style w:type="character" w:customStyle="1" w:styleId="15">
    <w:name w:val="批注框文本 Char"/>
    <w:link w:val="4"/>
    <w:semiHidden/>
    <w:qFormat/>
    <w:uiPriority w:val="99"/>
    <w:rPr>
      <w:kern w:val="2"/>
      <w:sz w:val="18"/>
      <w:szCs w:val="18"/>
    </w:rPr>
  </w:style>
  <w:style w:type="character" w:customStyle="1" w:styleId="16">
    <w:name w:val="页脚 Char"/>
    <w:link w:val="5"/>
    <w:qFormat/>
    <w:uiPriority w:val="99"/>
    <w:rPr>
      <w:kern w:val="2"/>
      <w:sz w:val="18"/>
      <w:szCs w:val="18"/>
    </w:rPr>
  </w:style>
  <w:style w:type="character" w:customStyle="1" w:styleId="17">
    <w:name w:val="页眉 Char"/>
    <w:link w:val="6"/>
    <w:semiHidden/>
    <w:qFormat/>
    <w:uiPriority w:val="99"/>
    <w:rPr>
      <w:kern w:val="2"/>
      <w:sz w:val="18"/>
      <w:szCs w:val="18"/>
    </w:rPr>
  </w:style>
  <w:style w:type="character" w:customStyle="1" w:styleId="18">
    <w:name w:val="批注主题 Char"/>
    <w:link w:val="7"/>
    <w:semiHidden/>
    <w:qFormat/>
    <w:uiPriority w:val="99"/>
    <w:rPr>
      <w:b/>
      <w:bCs/>
      <w:kern w:val="2"/>
      <w:sz w:val="21"/>
      <w:szCs w:val="24"/>
    </w:rPr>
  </w:style>
  <w:style w:type="paragraph" w:customStyle="1" w:styleId="19">
    <w:name w:val="列出段落1"/>
    <w:basedOn w:val="1"/>
    <w:qFormat/>
    <w:uiPriority w:val="34"/>
    <w:pPr>
      <w:ind w:firstLine="420" w:firstLineChars="200"/>
    </w:pPr>
    <w:rPr>
      <w:rFonts w:ascii="Calibri" w:hAnsi="Calibri"/>
      <w:szCs w:val="22"/>
    </w:rPr>
  </w:style>
  <w:style w:type="paragraph" w:customStyle="1" w:styleId="20">
    <w:name w:val="_Style 19"/>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Legend (Beijing) Limited</Company>
  <Pages>9</Pages>
  <Words>1001</Words>
  <Characters>5707</Characters>
  <Lines>47</Lines>
  <Paragraphs>13</Paragraphs>
  <TotalTime>39</TotalTime>
  <ScaleCrop>false</ScaleCrop>
  <LinksUpToDate>false</LinksUpToDate>
  <CharactersWithSpaces>6695</CharactersWithSpaces>
  <Application>WPS Office_11.8.2.12055_F1E327BC-269C-435d-A152-05C5408002CA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2025-06-19T15:24:00Z</dcterms:created>
  <dc:creator>Legend User</dc:creator>
  <cp:lastModifiedBy>YWB</cp:lastModifiedBy>
  <cp:lastPrinted>2025-04-03T10:43:00Z</cp:lastPrinted>
  <dcterms:modified xsi:type="dcterms:W3CDTF">2026-04-21T03:43:48Z</dcterms:modified>
  <dc:title>××产品质量监督抽查实施细则</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2052-11.8.2.12055</vt:lpwstr>
  </property>
  <property fmtid="{D5CDD505-2E9C-101B-9397-08002B2CF9AE}" pid="3" name="KSOSaveFontToCloudKey">
    <vt:lpwstr>550453206_embed</vt:lpwstr>
  </property>
  <property fmtid="{D5CDD505-2E9C-101B-9397-08002B2CF9AE}" pid="4" name="ICV">
    <vt:lpwstr>C6D91B9571854D059E2DE096238D4B18</vt:lpwstr>
  </property>
  <property fmtid="{D5CDD505-2E9C-101B-9397-08002B2CF9AE}" pid="5" name="KSOTemplateDocerSaveRecord">
    <vt:lpwstr>eyJoZGlkIjoiYTI1ZmQzZjNkMWIyZWQ2NTg0MDA4YjEwNjdjNDIyYzUiLCJ1c2VySWQiOiIyNjY2MjkwNzMifQ==</vt:lpwstr>
  </property>
</Properties>
</file>