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FB" w:rsidRDefault="004807BF">
      <w:pPr>
        <w:pStyle w:val="afffa"/>
        <w:snapToGrid w:val="0"/>
        <w:spacing w:line="400" w:lineRule="exact"/>
        <w:rPr>
          <w:rFonts w:ascii="Times New Roman"/>
        </w:rPr>
      </w:pPr>
      <w:r>
        <w:rPr>
          <w:rFonts w:ascii="Times New Roman"/>
        </w:rPr>
        <w:t>东莞优品评价规范</w:t>
      </w:r>
      <w:r>
        <w:rPr>
          <w:rFonts w:ascii="Times New Roman"/>
        </w:rPr>
        <w:t>（</w:t>
      </w:r>
      <w:r>
        <w:rPr>
          <w:rFonts w:ascii="Times New Roman"/>
        </w:rPr>
        <w:t>2026</w:t>
      </w:r>
      <w:r>
        <w:rPr>
          <w:rFonts w:ascii="Times New Roman"/>
        </w:rPr>
        <w:t>年修订版</w:t>
      </w:r>
      <w:r>
        <w:rPr>
          <w:rFonts w:ascii="Times New Roman"/>
        </w:rPr>
        <w:t>）</w:t>
      </w:r>
    </w:p>
    <w:p w:rsidR="003E2CFB" w:rsidRDefault="004807BF">
      <w:pPr>
        <w:pStyle w:val="a3"/>
        <w:snapToGrid w:val="0"/>
        <w:spacing w:before="312" w:after="312" w:line="400" w:lineRule="exact"/>
        <w:rPr>
          <w:rFonts w:ascii="Times New Roman"/>
        </w:rPr>
      </w:pPr>
      <w:r>
        <w:rPr>
          <w:rFonts w:ascii="Times New Roman"/>
        </w:rPr>
        <w:t>范围</w:t>
      </w:r>
    </w:p>
    <w:p w:rsidR="003E2CFB" w:rsidRDefault="004807BF">
      <w:pPr>
        <w:pStyle w:val="afff"/>
        <w:spacing w:line="400" w:lineRule="exact"/>
        <w:rPr>
          <w:rFonts w:ascii="Times New Roman"/>
        </w:rPr>
      </w:pPr>
      <w:r>
        <w:rPr>
          <w:rFonts w:ascii="Times New Roman"/>
        </w:rPr>
        <w:t>本文件规定了东莞优品评价的评价原则、评价对象、评价指标、评价方法与流程、评价文档管理和评价质量的持续改进。</w:t>
      </w:r>
    </w:p>
    <w:p w:rsidR="003E2CFB" w:rsidRDefault="004807BF">
      <w:pPr>
        <w:pStyle w:val="afff"/>
        <w:spacing w:line="400" w:lineRule="exact"/>
        <w:rPr>
          <w:rFonts w:ascii="Times New Roman"/>
        </w:rPr>
      </w:pPr>
      <w:r>
        <w:rPr>
          <w:rFonts w:ascii="Times New Roman"/>
        </w:rPr>
        <w:t>本文件适用于对东莞优品的评价。</w:t>
      </w:r>
    </w:p>
    <w:p w:rsidR="003E2CFB" w:rsidRDefault="004807BF">
      <w:pPr>
        <w:pStyle w:val="a3"/>
        <w:snapToGrid w:val="0"/>
        <w:spacing w:before="312" w:after="312" w:line="400" w:lineRule="exact"/>
        <w:rPr>
          <w:rFonts w:ascii="Times New Roman"/>
        </w:rPr>
      </w:pPr>
      <w:r>
        <w:rPr>
          <w:rFonts w:ascii="Times New Roman"/>
        </w:rPr>
        <w:t>规范性引用文件</w:t>
      </w:r>
    </w:p>
    <w:p w:rsidR="003E2CFB" w:rsidRDefault="004807BF">
      <w:pPr>
        <w:pStyle w:val="afff"/>
        <w:snapToGrid w:val="0"/>
        <w:spacing w:line="400" w:lineRule="exact"/>
        <w:rPr>
          <w:rFonts w:ascii="Times New Roman"/>
        </w:rPr>
      </w:pPr>
      <w:r>
        <w:rPr>
          <w:rFonts w:ascii="Times New Roman"/>
        </w:rPr>
        <w:t>本文件没有规范性引用文件。</w:t>
      </w:r>
    </w:p>
    <w:p w:rsidR="003E2CFB" w:rsidRDefault="004807BF">
      <w:pPr>
        <w:pStyle w:val="a3"/>
        <w:snapToGrid w:val="0"/>
        <w:spacing w:before="312" w:after="312" w:line="400" w:lineRule="exact"/>
        <w:rPr>
          <w:rFonts w:ascii="Times New Roman"/>
        </w:rPr>
      </w:pPr>
      <w:r>
        <w:rPr>
          <w:rFonts w:ascii="Times New Roman"/>
        </w:rPr>
        <w:t>术语和定义</w:t>
      </w:r>
    </w:p>
    <w:p w:rsidR="003E2CFB" w:rsidRDefault="004807BF">
      <w:pPr>
        <w:pStyle w:val="afff"/>
        <w:snapToGrid w:val="0"/>
        <w:spacing w:line="400" w:lineRule="exact"/>
        <w:rPr>
          <w:rFonts w:ascii="Times New Roman"/>
        </w:rPr>
      </w:pPr>
      <w:r>
        <w:rPr>
          <w:rFonts w:ascii="Times New Roman"/>
        </w:rPr>
        <w:t>下列术语和定义适用于本文件。</w:t>
      </w:r>
    </w:p>
    <w:p w:rsidR="003E2CFB" w:rsidRDefault="003E2CFB">
      <w:pPr>
        <w:pStyle w:val="affffff7"/>
        <w:spacing w:line="400" w:lineRule="exact"/>
        <w:rPr>
          <w:rFonts w:ascii="Times New Roman"/>
        </w:rPr>
      </w:pPr>
    </w:p>
    <w:p w:rsidR="003E2CFB" w:rsidRDefault="004807BF">
      <w:pPr>
        <w:pStyle w:val="a4"/>
        <w:numPr>
          <w:ilvl w:val="0"/>
          <w:numId w:val="0"/>
        </w:numPr>
        <w:snapToGrid w:val="0"/>
        <w:spacing w:beforeLines="0" w:afterLines="0" w:line="400" w:lineRule="exact"/>
        <w:ind w:firstLineChars="200" w:firstLine="420"/>
        <w:rPr>
          <w:rFonts w:ascii="Times New Roman"/>
        </w:rPr>
      </w:pPr>
      <w:r>
        <w:rPr>
          <w:rFonts w:ascii="Times New Roman"/>
        </w:rPr>
        <w:t>东莞优品</w:t>
      </w:r>
      <w:r>
        <w:rPr>
          <w:rFonts w:ascii="Times New Roman"/>
        </w:rPr>
        <w:t xml:space="preserve">  </w:t>
      </w:r>
      <w:r>
        <w:rPr>
          <w:rFonts w:ascii="Times New Roman"/>
        </w:rPr>
        <w:t>E</w:t>
      </w:r>
      <w:r>
        <w:rPr>
          <w:rFonts w:ascii="Times New Roman"/>
        </w:rPr>
        <w:t xml:space="preserve">xcellent products of </w:t>
      </w:r>
      <w:proofErr w:type="spellStart"/>
      <w:r>
        <w:rPr>
          <w:rFonts w:ascii="Times New Roman"/>
        </w:rPr>
        <w:t>Dongguan</w:t>
      </w:r>
      <w:proofErr w:type="spellEnd"/>
    </w:p>
    <w:p w:rsidR="003E2CFB" w:rsidRDefault="004807BF">
      <w:pPr>
        <w:pStyle w:val="afff"/>
        <w:snapToGrid w:val="0"/>
        <w:spacing w:line="400" w:lineRule="exact"/>
        <w:rPr>
          <w:rFonts w:ascii="Times New Roman"/>
        </w:rPr>
      </w:pPr>
      <w:r>
        <w:rPr>
          <w:rFonts w:ascii="Times New Roman"/>
        </w:rPr>
        <w:t>由东莞市行政区域内注册企业生产或授权生产，经相关程序评定其经营过程</w:t>
      </w:r>
      <w:r>
        <w:rPr>
          <w:rFonts w:ascii="Times New Roman"/>
        </w:rPr>
        <w:t>质量</w:t>
      </w:r>
      <w:r>
        <w:rPr>
          <w:rFonts w:ascii="Times New Roman"/>
        </w:rPr>
        <w:t>管理能力达到行业领先水平，经第三方检测其质量指标符合相关标准要求的产品。</w:t>
      </w:r>
    </w:p>
    <w:p w:rsidR="003E2CFB" w:rsidRDefault="004807BF">
      <w:pPr>
        <w:pStyle w:val="a3"/>
        <w:snapToGrid w:val="0"/>
        <w:spacing w:before="312" w:after="312" w:line="400" w:lineRule="exact"/>
        <w:rPr>
          <w:rFonts w:ascii="Times New Roman"/>
        </w:rPr>
      </w:pPr>
      <w:r>
        <w:rPr>
          <w:rFonts w:ascii="Times New Roman"/>
        </w:rPr>
        <w:t>评价原则</w:t>
      </w:r>
    </w:p>
    <w:p w:rsidR="003E2CFB" w:rsidRDefault="004807BF">
      <w:pPr>
        <w:pStyle w:val="a4"/>
        <w:snapToGrid w:val="0"/>
        <w:spacing w:before="156" w:after="156" w:line="400" w:lineRule="exact"/>
        <w:rPr>
          <w:rFonts w:ascii="Times New Roman"/>
        </w:rPr>
      </w:pPr>
      <w:r>
        <w:rPr>
          <w:rFonts w:ascii="Times New Roman"/>
        </w:rPr>
        <w:t>客观性原则</w:t>
      </w:r>
    </w:p>
    <w:p w:rsidR="003E2CFB" w:rsidRDefault="004807BF">
      <w:pPr>
        <w:pStyle w:val="afff"/>
        <w:snapToGrid w:val="0"/>
        <w:spacing w:line="400" w:lineRule="exact"/>
        <w:rPr>
          <w:rFonts w:ascii="Times New Roman"/>
        </w:rPr>
      </w:pPr>
      <w:r>
        <w:rPr>
          <w:rFonts w:ascii="Times New Roman"/>
        </w:rPr>
        <w:t>应依据可验证和</w:t>
      </w:r>
      <w:proofErr w:type="gramStart"/>
      <w:r>
        <w:rPr>
          <w:rFonts w:ascii="Times New Roman"/>
        </w:rPr>
        <w:t>可</w:t>
      </w:r>
      <w:proofErr w:type="gramEnd"/>
      <w:r>
        <w:rPr>
          <w:rFonts w:ascii="Times New Roman"/>
        </w:rPr>
        <w:t>观察的客观信息和数据，遵循明确、具体的标准，采用科学、合理的方法和工具，确保评价结果的客观性和准确性。</w:t>
      </w:r>
    </w:p>
    <w:p w:rsidR="003E2CFB" w:rsidRDefault="004807BF">
      <w:pPr>
        <w:pStyle w:val="a4"/>
        <w:snapToGrid w:val="0"/>
        <w:spacing w:before="156" w:after="156" w:line="400" w:lineRule="exact"/>
        <w:rPr>
          <w:rFonts w:ascii="Times New Roman"/>
        </w:rPr>
      </w:pPr>
      <w:r>
        <w:rPr>
          <w:rFonts w:ascii="Times New Roman"/>
        </w:rPr>
        <w:t>公正性原则</w:t>
      </w:r>
    </w:p>
    <w:p w:rsidR="003E2CFB" w:rsidRDefault="004807BF">
      <w:pPr>
        <w:pStyle w:val="afff"/>
        <w:snapToGrid w:val="0"/>
        <w:spacing w:line="400" w:lineRule="exact"/>
        <w:rPr>
          <w:rFonts w:ascii="Times New Roman"/>
        </w:rPr>
      </w:pPr>
      <w:r>
        <w:rPr>
          <w:rFonts w:ascii="Times New Roman"/>
        </w:rPr>
        <w:t>应在确保评价者的独立性和公正性的前提下，采用相同的、公开的评价标准、评价方法和评价程序进行评价工作，确保评价工作的公正性。</w:t>
      </w:r>
    </w:p>
    <w:p w:rsidR="003E2CFB" w:rsidRDefault="004807BF">
      <w:pPr>
        <w:pStyle w:val="a4"/>
        <w:snapToGrid w:val="0"/>
        <w:spacing w:before="156" w:after="156" w:line="400" w:lineRule="exact"/>
        <w:rPr>
          <w:rFonts w:ascii="Times New Roman"/>
        </w:rPr>
      </w:pPr>
      <w:r>
        <w:rPr>
          <w:rFonts w:ascii="Times New Roman"/>
        </w:rPr>
        <w:t>全面性原则</w:t>
      </w:r>
    </w:p>
    <w:p w:rsidR="003E2CFB" w:rsidRDefault="004807BF">
      <w:pPr>
        <w:pStyle w:val="afff"/>
        <w:snapToGrid w:val="0"/>
        <w:spacing w:line="400" w:lineRule="exact"/>
        <w:rPr>
          <w:rFonts w:ascii="Times New Roman"/>
        </w:rPr>
      </w:pPr>
      <w:r>
        <w:rPr>
          <w:rFonts w:ascii="Times New Roman"/>
        </w:rPr>
        <w:t>在进行评价时，应全面考虑构成东莞优品核心价值的各项要素，制定科学合理的评价指标，以确保评价结果的完整性、准确性和前瞻性。</w:t>
      </w:r>
    </w:p>
    <w:p w:rsidR="003E2CFB" w:rsidRDefault="004807BF">
      <w:pPr>
        <w:pStyle w:val="a4"/>
        <w:snapToGrid w:val="0"/>
        <w:spacing w:before="156" w:after="156" w:line="400" w:lineRule="exact"/>
        <w:rPr>
          <w:rFonts w:ascii="Times New Roman"/>
        </w:rPr>
      </w:pPr>
      <w:r>
        <w:rPr>
          <w:rFonts w:ascii="Times New Roman"/>
        </w:rPr>
        <w:lastRenderedPageBreak/>
        <w:t>可追溯性原则</w:t>
      </w:r>
    </w:p>
    <w:p w:rsidR="003E2CFB" w:rsidRDefault="004807BF">
      <w:pPr>
        <w:pStyle w:val="afff"/>
        <w:snapToGrid w:val="0"/>
        <w:spacing w:line="400" w:lineRule="exact"/>
        <w:rPr>
          <w:rFonts w:ascii="Times New Roman"/>
        </w:rPr>
      </w:pPr>
      <w:r>
        <w:rPr>
          <w:rFonts w:ascii="Times New Roman"/>
        </w:rPr>
        <w:t>评价过程应完整、清晰地记录评价过程和结果，确保评价过程可追溯、评价结果可验证，并接受相关方申述和监督。</w:t>
      </w:r>
    </w:p>
    <w:p w:rsidR="003E2CFB" w:rsidRDefault="004807BF">
      <w:pPr>
        <w:pStyle w:val="a3"/>
        <w:snapToGrid w:val="0"/>
        <w:spacing w:before="312" w:after="312" w:line="400" w:lineRule="exact"/>
        <w:rPr>
          <w:rFonts w:ascii="Times New Roman"/>
        </w:rPr>
      </w:pPr>
      <w:r>
        <w:rPr>
          <w:rFonts w:ascii="Times New Roman"/>
        </w:rPr>
        <w:t>评</w:t>
      </w:r>
      <w:r>
        <w:rPr>
          <w:rFonts w:ascii="Times New Roman"/>
        </w:rPr>
        <w:t>价指标</w:t>
      </w:r>
    </w:p>
    <w:p w:rsidR="003E2CFB" w:rsidRDefault="004807BF">
      <w:pPr>
        <w:pStyle w:val="affffff7"/>
        <w:snapToGrid w:val="0"/>
        <w:spacing w:line="400" w:lineRule="exact"/>
        <w:rPr>
          <w:rFonts w:ascii="Times New Roman"/>
        </w:rPr>
      </w:pPr>
      <w:r>
        <w:rPr>
          <w:rFonts w:ascii="Times New Roman"/>
        </w:rPr>
        <w:t>东莞优品评价指标针对工业品和农产品分别制定，包括资料评价指标和现场评价指标。</w:t>
      </w:r>
    </w:p>
    <w:p w:rsidR="003E2CFB" w:rsidRDefault="004807BF">
      <w:pPr>
        <w:pStyle w:val="affffff7"/>
        <w:snapToGrid w:val="0"/>
        <w:spacing w:line="400" w:lineRule="exact"/>
        <w:rPr>
          <w:rFonts w:ascii="Times New Roman"/>
        </w:rPr>
      </w:pPr>
      <w:r>
        <w:rPr>
          <w:rFonts w:ascii="Times New Roman"/>
        </w:rPr>
        <w:t>工业品资料评价包含组织管理、资源管理、过程管理、产品责任及</w:t>
      </w:r>
      <w:r>
        <w:rPr>
          <w:rFonts w:ascii="Times New Roman"/>
        </w:rPr>
        <w:t>客户</w:t>
      </w:r>
      <w:r>
        <w:rPr>
          <w:rFonts w:ascii="Times New Roman"/>
        </w:rPr>
        <w:t>权益保障、创新能力、品牌管理、数字化建设、绿色发展、社会责任共计</w:t>
      </w:r>
      <w:r>
        <w:rPr>
          <w:rFonts w:ascii="Times New Roman"/>
        </w:rPr>
        <w:t>9</w:t>
      </w:r>
      <w:r>
        <w:rPr>
          <w:rFonts w:ascii="Times New Roman"/>
        </w:rPr>
        <w:t>项一级指标和</w:t>
      </w:r>
      <w:r>
        <w:rPr>
          <w:rFonts w:ascii="Times New Roman"/>
        </w:rPr>
        <w:t>1</w:t>
      </w:r>
      <w:r>
        <w:rPr>
          <w:rFonts w:ascii="Times New Roman" w:hint="eastAsia"/>
        </w:rPr>
        <w:t>6</w:t>
      </w:r>
      <w:r>
        <w:rPr>
          <w:rFonts w:ascii="Times New Roman"/>
        </w:rPr>
        <w:t>项二级指标，每项二级指标包含若干</w:t>
      </w:r>
      <w:proofErr w:type="gramStart"/>
      <w:r>
        <w:rPr>
          <w:rFonts w:ascii="Times New Roman"/>
        </w:rPr>
        <w:t>条评价</w:t>
      </w:r>
      <w:proofErr w:type="gramEnd"/>
      <w:r>
        <w:rPr>
          <w:rFonts w:ascii="Times New Roman"/>
        </w:rPr>
        <w:t>要求，共计</w:t>
      </w:r>
      <w:r>
        <w:rPr>
          <w:rFonts w:ascii="Times New Roman"/>
        </w:rPr>
        <w:t>34</w:t>
      </w:r>
      <w:r>
        <w:rPr>
          <w:rFonts w:ascii="Times New Roman"/>
        </w:rPr>
        <w:t>项评价要求。工业品资料评价指标及评价要求见附录</w:t>
      </w:r>
      <w:r>
        <w:rPr>
          <w:rFonts w:ascii="Times New Roman"/>
        </w:rPr>
        <w:t>A</w:t>
      </w:r>
      <w:r>
        <w:rPr>
          <w:rFonts w:ascii="Times New Roman"/>
        </w:rPr>
        <w:t>。</w:t>
      </w:r>
    </w:p>
    <w:p w:rsidR="003E2CFB" w:rsidRDefault="004807BF">
      <w:pPr>
        <w:pStyle w:val="affffff7"/>
        <w:snapToGrid w:val="0"/>
        <w:spacing w:line="400" w:lineRule="exact"/>
        <w:rPr>
          <w:rFonts w:ascii="Times New Roman"/>
        </w:rPr>
      </w:pPr>
      <w:r>
        <w:rPr>
          <w:rFonts w:ascii="Times New Roman"/>
        </w:rPr>
        <w:t>工业品现场评价</w:t>
      </w:r>
      <w:r>
        <w:rPr>
          <w:rFonts w:ascii="Times New Roman"/>
        </w:rPr>
        <w:t>包含</w:t>
      </w:r>
      <w:r>
        <w:rPr>
          <w:rFonts w:ascii="Times New Roman"/>
        </w:rPr>
        <w:t>生产现场、仓储现场、检验现场</w:t>
      </w:r>
      <w:r>
        <w:rPr>
          <w:rFonts w:ascii="Times New Roman"/>
        </w:rPr>
        <w:t>3</w:t>
      </w:r>
      <w:r>
        <w:rPr>
          <w:rFonts w:ascii="Times New Roman"/>
        </w:rPr>
        <w:t>项指标，共计</w:t>
      </w:r>
      <w:r>
        <w:rPr>
          <w:rFonts w:ascii="Times New Roman"/>
        </w:rPr>
        <w:t>14</w:t>
      </w:r>
      <w:r>
        <w:rPr>
          <w:rFonts w:ascii="Times New Roman"/>
        </w:rPr>
        <w:t>项评价要求。工业品现场评价指标及评价要求见附录</w:t>
      </w:r>
      <w:r>
        <w:rPr>
          <w:rFonts w:ascii="Times New Roman"/>
        </w:rPr>
        <w:t>B</w:t>
      </w:r>
      <w:r>
        <w:rPr>
          <w:rFonts w:ascii="Times New Roman"/>
        </w:rPr>
        <w:t>。</w:t>
      </w:r>
    </w:p>
    <w:p w:rsidR="003E2CFB" w:rsidRDefault="004807BF">
      <w:pPr>
        <w:pStyle w:val="affffff7"/>
        <w:snapToGrid w:val="0"/>
        <w:spacing w:line="400" w:lineRule="exact"/>
        <w:rPr>
          <w:rFonts w:ascii="Times New Roman"/>
        </w:rPr>
      </w:pPr>
      <w:r>
        <w:rPr>
          <w:rFonts w:ascii="Times New Roman"/>
        </w:rPr>
        <w:t>农产品资料评价指标包含</w:t>
      </w:r>
      <w:r>
        <w:rPr>
          <w:rFonts w:ascii="Times New Roman"/>
        </w:rPr>
        <w:t>组织管理、资源管理、过程管理、产品责任及</w:t>
      </w:r>
      <w:r>
        <w:rPr>
          <w:rFonts w:ascii="Times New Roman"/>
        </w:rPr>
        <w:t>客户</w:t>
      </w:r>
      <w:r>
        <w:rPr>
          <w:rFonts w:ascii="Times New Roman"/>
        </w:rPr>
        <w:t>权益保障共计</w:t>
      </w:r>
      <w:r>
        <w:rPr>
          <w:rFonts w:ascii="Times New Roman"/>
        </w:rPr>
        <w:t>4</w:t>
      </w:r>
      <w:r>
        <w:rPr>
          <w:rFonts w:ascii="Times New Roman"/>
        </w:rPr>
        <w:t>项一级指标和</w:t>
      </w:r>
      <w:r>
        <w:rPr>
          <w:rFonts w:ascii="Times New Roman" w:hint="eastAsia"/>
        </w:rPr>
        <w:t>10</w:t>
      </w:r>
      <w:r>
        <w:rPr>
          <w:rFonts w:ascii="Times New Roman"/>
        </w:rPr>
        <w:t>项二级指标，每项二级指标包含若干</w:t>
      </w:r>
      <w:proofErr w:type="gramStart"/>
      <w:r>
        <w:rPr>
          <w:rFonts w:ascii="Times New Roman"/>
        </w:rPr>
        <w:t>条评价</w:t>
      </w:r>
      <w:proofErr w:type="gramEnd"/>
      <w:r>
        <w:rPr>
          <w:rFonts w:ascii="Times New Roman"/>
        </w:rPr>
        <w:t>要求，共计</w:t>
      </w:r>
      <w:r>
        <w:rPr>
          <w:rFonts w:ascii="Times New Roman"/>
        </w:rPr>
        <w:t>15</w:t>
      </w:r>
      <w:r>
        <w:rPr>
          <w:rFonts w:ascii="Times New Roman"/>
        </w:rPr>
        <w:t>项评价要求。</w:t>
      </w:r>
      <w:r>
        <w:rPr>
          <w:rFonts w:ascii="Times New Roman"/>
        </w:rPr>
        <w:t>农产品资料评价指标及评价要求见附录</w:t>
      </w:r>
      <w:r>
        <w:rPr>
          <w:rFonts w:ascii="Times New Roman"/>
        </w:rPr>
        <w:t>C</w:t>
      </w:r>
      <w:r>
        <w:rPr>
          <w:rFonts w:ascii="Times New Roman"/>
        </w:rPr>
        <w:t>。</w:t>
      </w:r>
    </w:p>
    <w:p w:rsidR="003E2CFB" w:rsidRDefault="004807BF">
      <w:pPr>
        <w:pStyle w:val="affffff7"/>
        <w:snapToGrid w:val="0"/>
        <w:spacing w:line="400" w:lineRule="exact"/>
        <w:rPr>
          <w:rFonts w:ascii="Times New Roman"/>
        </w:rPr>
      </w:pPr>
      <w:r>
        <w:rPr>
          <w:rFonts w:ascii="Times New Roman"/>
        </w:rPr>
        <w:t>农产品现场评价指标</w:t>
      </w:r>
      <w:r>
        <w:rPr>
          <w:rFonts w:ascii="Times New Roman"/>
        </w:rPr>
        <w:t>包含</w:t>
      </w:r>
      <w:r>
        <w:rPr>
          <w:rFonts w:ascii="Times New Roman"/>
        </w:rPr>
        <w:t>生产现场、仓储现场、检验现场</w:t>
      </w:r>
      <w:r>
        <w:rPr>
          <w:rFonts w:ascii="Times New Roman"/>
        </w:rPr>
        <w:t>3</w:t>
      </w:r>
      <w:r>
        <w:rPr>
          <w:rFonts w:ascii="Times New Roman"/>
        </w:rPr>
        <w:t>项指标，共计</w:t>
      </w:r>
      <w:r>
        <w:rPr>
          <w:rFonts w:ascii="Times New Roman"/>
        </w:rPr>
        <w:t>11</w:t>
      </w:r>
      <w:r>
        <w:rPr>
          <w:rFonts w:ascii="Times New Roman"/>
        </w:rPr>
        <w:t>项评价要求。农产品评价指标及评价要求见附录</w:t>
      </w:r>
      <w:r>
        <w:rPr>
          <w:rFonts w:ascii="Times New Roman"/>
        </w:rPr>
        <w:t>D</w:t>
      </w:r>
      <w:r>
        <w:rPr>
          <w:rFonts w:ascii="Times New Roman"/>
        </w:rPr>
        <w:t>。</w:t>
      </w:r>
    </w:p>
    <w:p w:rsidR="003E2CFB" w:rsidRDefault="004807BF">
      <w:pPr>
        <w:pStyle w:val="a3"/>
        <w:snapToGrid w:val="0"/>
        <w:spacing w:before="312" w:after="312" w:line="400" w:lineRule="exact"/>
        <w:rPr>
          <w:rFonts w:ascii="Times New Roman"/>
        </w:rPr>
      </w:pPr>
      <w:r>
        <w:rPr>
          <w:rFonts w:ascii="Times New Roman"/>
        </w:rPr>
        <w:t>评价方法与流程</w:t>
      </w:r>
    </w:p>
    <w:p w:rsidR="003E2CFB" w:rsidRDefault="004807BF">
      <w:pPr>
        <w:pStyle w:val="a4"/>
        <w:snapToGrid w:val="0"/>
        <w:spacing w:before="156" w:after="156" w:line="400" w:lineRule="exact"/>
        <w:rPr>
          <w:rFonts w:ascii="Times New Roman"/>
        </w:rPr>
      </w:pPr>
      <w:r>
        <w:rPr>
          <w:rFonts w:ascii="Times New Roman"/>
        </w:rPr>
        <w:t>评价方法</w:t>
      </w:r>
    </w:p>
    <w:p w:rsidR="003E2CFB" w:rsidRDefault="004807BF">
      <w:pPr>
        <w:pStyle w:val="afffc"/>
        <w:snapToGrid w:val="0"/>
        <w:spacing w:line="400" w:lineRule="exact"/>
        <w:rPr>
          <w:rFonts w:ascii="Times New Roman"/>
        </w:rPr>
      </w:pPr>
      <w:r>
        <w:rPr>
          <w:rFonts w:ascii="Times New Roman"/>
        </w:rPr>
        <w:t>东莞优品评价采用计分方法。资料评价总分赋值为</w:t>
      </w:r>
      <w:r>
        <w:rPr>
          <w:rFonts w:ascii="Times New Roman"/>
        </w:rPr>
        <w:t>800</w:t>
      </w:r>
      <w:r>
        <w:rPr>
          <w:rFonts w:ascii="Times New Roman"/>
        </w:rPr>
        <w:t>分，现场评价总</w:t>
      </w:r>
      <w:r>
        <w:rPr>
          <w:rFonts w:ascii="Times New Roman" w:hint="eastAsia"/>
        </w:rPr>
        <w:t>分</w:t>
      </w:r>
      <w:r>
        <w:rPr>
          <w:rFonts w:ascii="Times New Roman"/>
        </w:rPr>
        <w:t>赋值为</w:t>
      </w:r>
      <w:r>
        <w:rPr>
          <w:rFonts w:ascii="Times New Roman"/>
        </w:rPr>
        <w:t>200</w:t>
      </w:r>
      <w:r>
        <w:rPr>
          <w:rFonts w:ascii="Times New Roman"/>
        </w:rPr>
        <w:t>分，总分合计</w:t>
      </w:r>
      <w:r>
        <w:rPr>
          <w:rFonts w:ascii="Times New Roman"/>
        </w:rPr>
        <w:t>1000</w:t>
      </w:r>
      <w:r>
        <w:rPr>
          <w:rFonts w:ascii="Times New Roman"/>
        </w:rPr>
        <w:t>分。</w:t>
      </w:r>
    </w:p>
    <w:p w:rsidR="003E2CFB" w:rsidRDefault="004807BF">
      <w:pPr>
        <w:pStyle w:val="afffc"/>
        <w:snapToGrid w:val="0"/>
        <w:spacing w:line="400" w:lineRule="exact"/>
        <w:rPr>
          <w:rFonts w:ascii="Times New Roman"/>
        </w:rPr>
      </w:pPr>
      <w:r>
        <w:rPr>
          <w:rFonts w:ascii="Times New Roman"/>
        </w:rPr>
        <w:t>评价时赋予每项指标的分值准确至个位。</w:t>
      </w:r>
    </w:p>
    <w:p w:rsidR="003E2CFB" w:rsidRDefault="004807BF">
      <w:pPr>
        <w:pStyle w:val="a4"/>
        <w:snapToGrid w:val="0"/>
        <w:spacing w:before="156" w:after="156" w:line="400" w:lineRule="exact"/>
        <w:rPr>
          <w:rFonts w:ascii="Times New Roman"/>
        </w:rPr>
      </w:pPr>
      <w:r>
        <w:rPr>
          <w:rFonts w:ascii="Times New Roman"/>
        </w:rPr>
        <w:t>合格线划定</w:t>
      </w:r>
      <w:bookmarkStart w:id="0" w:name="_GoBack"/>
      <w:bookmarkEnd w:id="0"/>
    </w:p>
    <w:p w:rsidR="003E2CFB" w:rsidRDefault="004807BF">
      <w:pPr>
        <w:pStyle w:val="afffc"/>
        <w:snapToGrid w:val="0"/>
        <w:spacing w:line="400" w:lineRule="exact"/>
        <w:rPr>
          <w:rFonts w:ascii="Times New Roman"/>
        </w:rPr>
      </w:pPr>
      <w:r>
        <w:rPr>
          <w:rFonts w:ascii="Times New Roman"/>
        </w:rPr>
        <w:t>根据东莞优品管理要求，划定东莞优品评价合格线为</w:t>
      </w:r>
      <w:r>
        <w:rPr>
          <w:rFonts w:ascii="Times New Roman"/>
        </w:rPr>
        <w:t>600</w:t>
      </w:r>
      <w:r>
        <w:rPr>
          <w:rFonts w:ascii="Times New Roman"/>
        </w:rPr>
        <w:t>分。</w:t>
      </w:r>
    </w:p>
    <w:p w:rsidR="003E2CFB" w:rsidRDefault="004807BF">
      <w:pPr>
        <w:pStyle w:val="afffc"/>
        <w:snapToGrid w:val="0"/>
        <w:spacing w:line="400" w:lineRule="exact"/>
        <w:rPr>
          <w:rFonts w:ascii="Times New Roman"/>
        </w:rPr>
      </w:pPr>
      <w:r>
        <w:rPr>
          <w:rFonts w:ascii="Times New Roman"/>
        </w:rPr>
        <w:t>评价总得分大于或等于</w:t>
      </w:r>
      <w:r>
        <w:rPr>
          <w:rFonts w:ascii="Times New Roman"/>
        </w:rPr>
        <w:t>合格线，且质量经第三方检测符合相关标准要求的产品，可入围东莞优品备选名录。</w:t>
      </w:r>
    </w:p>
    <w:p w:rsidR="003E2CFB" w:rsidRDefault="004807BF">
      <w:pPr>
        <w:pStyle w:val="afffc"/>
        <w:snapToGrid w:val="0"/>
        <w:spacing w:line="400" w:lineRule="exact"/>
        <w:rPr>
          <w:rFonts w:ascii="Times New Roman"/>
        </w:rPr>
      </w:pPr>
      <w:r>
        <w:rPr>
          <w:rFonts w:ascii="Times New Roman"/>
        </w:rPr>
        <w:t>东莞优品产品</w:t>
      </w:r>
      <w:r>
        <w:rPr>
          <w:rFonts w:ascii="Times New Roman"/>
        </w:rPr>
        <w:t>原则上</w:t>
      </w:r>
      <w:r>
        <w:rPr>
          <w:rFonts w:ascii="Times New Roman"/>
        </w:rPr>
        <w:t>在备选名录中按得分高低及获评名额数量择优确定。</w:t>
      </w:r>
    </w:p>
    <w:p w:rsidR="003E2CFB" w:rsidRDefault="004807BF">
      <w:pPr>
        <w:pStyle w:val="a4"/>
        <w:snapToGrid w:val="0"/>
        <w:spacing w:before="156" w:after="156" w:line="400" w:lineRule="exact"/>
        <w:rPr>
          <w:rFonts w:ascii="Times New Roman"/>
        </w:rPr>
      </w:pPr>
      <w:r>
        <w:rPr>
          <w:rFonts w:ascii="Times New Roman"/>
        </w:rPr>
        <w:t>评价流程</w:t>
      </w:r>
    </w:p>
    <w:p w:rsidR="003E2CFB" w:rsidRDefault="004807BF">
      <w:pPr>
        <w:pStyle w:val="a5"/>
        <w:snapToGrid w:val="0"/>
        <w:spacing w:before="156" w:after="156" w:line="400" w:lineRule="exact"/>
        <w:rPr>
          <w:rFonts w:ascii="Times New Roman"/>
        </w:rPr>
      </w:pPr>
      <w:r>
        <w:rPr>
          <w:rFonts w:ascii="Times New Roman"/>
        </w:rPr>
        <w:t>评价机构</w:t>
      </w:r>
    </w:p>
    <w:p w:rsidR="003E2CFB" w:rsidRDefault="004807BF">
      <w:pPr>
        <w:pStyle w:val="afffffe"/>
        <w:snapToGrid w:val="0"/>
        <w:spacing w:before="0" w:after="0" w:line="400" w:lineRule="exact"/>
        <w:rPr>
          <w:rFonts w:ascii="Times New Roman"/>
        </w:rPr>
      </w:pPr>
      <w:r>
        <w:rPr>
          <w:rFonts w:ascii="Times New Roman"/>
        </w:rPr>
        <w:t>东莞优品评价机构为东莞优品管理部门或其委托机构，负责组织实施东莞优品评价活动。</w:t>
      </w:r>
    </w:p>
    <w:p w:rsidR="003E2CFB" w:rsidRDefault="004807BF">
      <w:pPr>
        <w:pStyle w:val="afffffe"/>
        <w:snapToGrid w:val="0"/>
        <w:spacing w:before="0" w:after="0" w:line="400" w:lineRule="exact"/>
        <w:rPr>
          <w:rFonts w:ascii="Times New Roman"/>
        </w:rPr>
      </w:pPr>
      <w:r>
        <w:rPr>
          <w:rFonts w:ascii="Times New Roman"/>
        </w:rPr>
        <w:t>评价机构应建立东莞优品评价专家库。</w:t>
      </w:r>
    </w:p>
    <w:p w:rsidR="003E2CFB" w:rsidRDefault="004807BF">
      <w:pPr>
        <w:pStyle w:val="afffffe"/>
        <w:snapToGrid w:val="0"/>
        <w:spacing w:before="0" w:after="0" w:line="400" w:lineRule="exact"/>
        <w:rPr>
          <w:rFonts w:ascii="Times New Roman"/>
        </w:rPr>
      </w:pPr>
      <w:r>
        <w:rPr>
          <w:rFonts w:ascii="Times New Roman"/>
        </w:rPr>
        <w:t>纳入评价专家库的专家，应符合以下条件：</w:t>
      </w:r>
    </w:p>
    <w:p w:rsidR="003E2CFB" w:rsidRDefault="004807BF">
      <w:pPr>
        <w:pStyle w:val="af3"/>
        <w:snapToGrid w:val="0"/>
        <w:spacing w:line="400" w:lineRule="exact"/>
        <w:rPr>
          <w:rFonts w:ascii="Times New Roman"/>
        </w:rPr>
      </w:pPr>
      <w:r>
        <w:rPr>
          <w:rFonts w:ascii="Times New Roman"/>
        </w:rPr>
        <w:lastRenderedPageBreak/>
        <w:t>具有中级或以上职称，从事质量管理、标准化、检验检测、认证认可等相关领域工作五年以上；</w:t>
      </w:r>
    </w:p>
    <w:p w:rsidR="003E2CFB" w:rsidRDefault="004807BF">
      <w:pPr>
        <w:pStyle w:val="af3"/>
        <w:snapToGrid w:val="0"/>
        <w:spacing w:line="400" w:lineRule="exact"/>
        <w:rPr>
          <w:rFonts w:ascii="Times New Roman"/>
        </w:rPr>
      </w:pPr>
      <w:r>
        <w:rPr>
          <w:rFonts w:ascii="Times New Roman"/>
        </w:rPr>
        <w:t>掌握评价工作有关的技术标准、评分方法和操作流程，具有解决实际问题的能力；</w:t>
      </w:r>
    </w:p>
    <w:p w:rsidR="003E2CFB" w:rsidRDefault="004807BF">
      <w:pPr>
        <w:pStyle w:val="af3"/>
        <w:snapToGrid w:val="0"/>
        <w:spacing w:line="400" w:lineRule="exact"/>
        <w:rPr>
          <w:rFonts w:ascii="Times New Roman"/>
        </w:rPr>
      </w:pPr>
      <w:r>
        <w:rPr>
          <w:rFonts w:ascii="Times New Roman"/>
        </w:rPr>
        <w:t>热衷促进行业发展相关工作，能认真履行职责，公正廉洁，自觉遵守评价工作相关法律法规、制度纪律和职业道德；</w:t>
      </w:r>
    </w:p>
    <w:p w:rsidR="003E2CFB" w:rsidRDefault="004807BF">
      <w:pPr>
        <w:pStyle w:val="af3"/>
        <w:snapToGrid w:val="0"/>
        <w:spacing w:line="400" w:lineRule="exact"/>
        <w:rPr>
          <w:rFonts w:ascii="Times New Roman"/>
        </w:rPr>
      </w:pPr>
      <w:r>
        <w:rPr>
          <w:rFonts w:ascii="Times New Roman"/>
        </w:rPr>
        <w:t>身体健康，有完成评价工作的时间和精力。</w:t>
      </w:r>
    </w:p>
    <w:p w:rsidR="003E2CFB" w:rsidRDefault="004807BF">
      <w:pPr>
        <w:pStyle w:val="a5"/>
        <w:snapToGrid w:val="0"/>
        <w:spacing w:before="156" w:after="156" w:line="400" w:lineRule="exact"/>
        <w:rPr>
          <w:rFonts w:ascii="Times New Roman"/>
        </w:rPr>
      </w:pPr>
      <w:r>
        <w:rPr>
          <w:rFonts w:ascii="Times New Roman"/>
        </w:rPr>
        <w:t>评价工作组</w:t>
      </w:r>
    </w:p>
    <w:p w:rsidR="003E2CFB" w:rsidRDefault="004807BF">
      <w:pPr>
        <w:pStyle w:val="afffffe"/>
        <w:snapToGrid w:val="0"/>
        <w:spacing w:before="0" w:after="0" w:line="400" w:lineRule="exact"/>
        <w:rPr>
          <w:rFonts w:ascii="Times New Roman"/>
        </w:rPr>
      </w:pPr>
      <w:r>
        <w:rPr>
          <w:rFonts w:ascii="Times New Roman"/>
        </w:rPr>
        <w:t>评价机构应根据东莞优品评价需要，从专家库中抽取专家组建评价工作组，评价工作组应设组长</w:t>
      </w:r>
      <w:r>
        <w:rPr>
          <w:rFonts w:ascii="Times New Roman"/>
        </w:rPr>
        <w:t>1</w:t>
      </w:r>
      <w:r>
        <w:rPr>
          <w:rFonts w:ascii="Times New Roman"/>
        </w:rPr>
        <w:t>名，实行组长负责制。</w:t>
      </w:r>
    </w:p>
    <w:p w:rsidR="003E2CFB" w:rsidRDefault="004807BF">
      <w:pPr>
        <w:pStyle w:val="afffffe"/>
        <w:snapToGrid w:val="0"/>
        <w:spacing w:before="0" w:after="0" w:line="400" w:lineRule="exact"/>
        <w:rPr>
          <w:rFonts w:ascii="Times New Roman"/>
        </w:rPr>
      </w:pPr>
      <w:r>
        <w:rPr>
          <w:rFonts w:ascii="Times New Roman"/>
        </w:rPr>
        <w:t>评价机构应对入选评价工作组的专家进行东莞优品评价标准的培训，确保入选专家熟悉东莞优品评价指标及其评价方法。</w:t>
      </w:r>
    </w:p>
    <w:p w:rsidR="003E2CFB" w:rsidRDefault="004807BF">
      <w:pPr>
        <w:pStyle w:val="a5"/>
        <w:snapToGrid w:val="0"/>
        <w:spacing w:before="156" w:after="156" w:line="400" w:lineRule="exact"/>
        <w:rPr>
          <w:rFonts w:ascii="Times New Roman"/>
        </w:rPr>
      </w:pPr>
      <w:r>
        <w:rPr>
          <w:rFonts w:ascii="Times New Roman"/>
        </w:rPr>
        <w:t>评价工作方案</w:t>
      </w:r>
    </w:p>
    <w:p w:rsidR="003E2CFB" w:rsidRDefault="004807BF">
      <w:pPr>
        <w:pStyle w:val="afff"/>
        <w:spacing w:line="400" w:lineRule="exact"/>
        <w:rPr>
          <w:rFonts w:ascii="Times New Roman"/>
        </w:rPr>
      </w:pPr>
      <w:r>
        <w:rPr>
          <w:rFonts w:ascii="Times New Roman"/>
        </w:rPr>
        <w:t>实施评价前应制</w:t>
      </w:r>
      <w:proofErr w:type="gramStart"/>
      <w:r>
        <w:rPr>
          <w:rFonts w:ascii="Times New Roman"/>
        </w:rPr>
        <w:t>定评价</w:t>
      </w:r>
      <w:proofErr w:type="gramEnd"/>
      <w:r>
        <w:rPr>
          <w:rFonts w:ascii="Times New Roman"/>
        </w:rPr>
        <w:t>工作方案，方案内容应包括评价依据、评价方式、</w:t>
      </w:r>
      <w:proofErr w:type="gramStart"/>
      <w:r>
        <w:rPr>
          <w:rFonts w:ascii="Times New Roman"/>
        </w:rPr>
        <w:t>评价组</w:t>
      </w:r>
      <w:proofErr w:type="gramEnd"/>
      <w:r>
        <w:rPr>
          <w:rFonts w:ascii="Times New Roman"/>
        </w:rPr>
        <w:t>人员构成、工作进度及时间安排等内容。</w:t>
      </w:r>
    </w:p>
    <w:p w:rsidR="003E2CFB" w:rsidRDefault="004807BF">
      <w:pPr>
        <w:pStyle w:val="a5"/>
        <w:snapToGrid w:val="0"/>
        <w:spacing w:before="156" w:after="156" w:line="400" w:lineRule="exact"/>
        <w:rPr>
          <w:rFonts w:ascii="Times New Roman"/>
        </w:rPr>
      </w:pPr>
      <w:r>
        <w:rPr>
          <w:rFonts w:ascii="Times New Roman"/>
        </w:rPr>
        <w:t>评价过程</w:t>
      </w:r>
    </w:p>
    <w:p w:rsidR="003E2CFB" w:rsidRDefault="004807BF">
      <w:pPr>
        <w:pStyle w:val="afffffe"/>
        <w:snapToGrid w:val="0"/>
        <w:spacing w:before="0" w:after="0" w:line="400" w:lineRule="exact"/>
        <w:rPr>
          <w:rFonts w:ascii="Times New Roman"/>
        </w:rPr>
      </w:pPr>
      <w:r>
        <w:rPr>
          <w:rFonts w:ascii="Times New Roman"/>
        </w:rPr>
        <w:t>评价采取资料评价和现场评价相结合的方式，资料评价和现场评价分别成立评价工作组。</w:t>
      </w:r>
    </w:p>
    <w:p w:rsidR="003E2CFB" w:rsidRDefault="004807BF">
      <w:pPr>
        <w:pStyle w:val="afffffe"/>
        <w:snapToGrid w:val="0"/>
        <w:spacing w:before="0" w:after="0" w:line="400" w:lineRule="exact"/>
        <w:rPr>
          <w:rFonts w:ascii="Times New Roman"/>
        </w:rPr>
      </w:pPr>
      <w:r>
        <w:rPr>
          <w:rFonts w:ascii="Times New Roman"/>
        </w:rPr>
        <w:t>工业品、农产品申报企业应分别根据附录</w:t>
      </w:r>
      <w:r>
        <w:rPr>
          <w:rFonts w:ascii="Times New Roman"/>
        </w:rPr>
        <w:t>A</w:t>
      </w:r>
      <w:r>
        <w:rPr>
          <w:rFonts w:ascii="Times New Roman"/>
        </w:rPr>
        <w:t>、附录</w:t>
      </w:r>
      <w:r>
        <w:rPr>
          <w:rFonts w:ascii="Times New Roman"/>
        </w:rPr>
        <w:t>C</w:t>
      </w:r>
      <w:r>
        <w:rPr>
          <w:rFonts w:ascii="Times New Roman"/>
        </w:rPr>
        <w:t>的评价指标向东莞优品评价机构提交各项证明材料。</w:t>
      </w:r>
    </w:p>
    <w:p w:rsidR="003E2CFB" w:rsidRDefault="004807BF">
      <w:pPr>
        <w:pStyle w:val="afffffe"/>
        <w:snapToGrid w:val="0"/>
        <w:spacing w:before="0" w:after="0" w:line="400" w:lineRule="exact"/>
        <w:rPr>
          <w:rFonts w:ascii="Times New Roman"/>
        </w:rPr>
      </w:pPr>
      <w:r>
        <w:rPr>
          <w:rFonts w:ascii="Times New Roman"/>
        </w:rPr>
        <w:t>实施资料评价前，应对企业及其申报产品的资格进行确认，如不符合东莞优品管理部门公示的资格要求，则终止评价。</w:t>
      </w:r>
    </w:p>
    <w:p w:rsidR="003E2CFB" w:rsidRDefault="004807BF">
      <w:pPr>
        <w:pStyle w:val="afffffe"/>
        <w:snapToGrid w:val="0"/>
        <w:spacing w:before="0" w:after="0" w:line="400" w:lineRule="exact"/>
        <w:rPr>
          <w:rFonts w:ascii="Times New Roman"/>
        </w:rPr>
      </w:pPr>
      <w:r>
        <w:rPr>
          <w:rFonts w:ascii="Times New Roman"/>
        </w:rPr>
        <w:t>资料评价工作组根据附录</w:t>
      </w:r>
      <w:r>
        <w:rPr>
          <w:rFonts w:ascii="Times New Roman"/>
        </w:rPr>
        <w:t>A</w:t>
      </w:r>
      <w:r>
        <w:rPr>
          <w:rFonts w:ascii="Times New Roman"/>
        </w:rPr>
        <w:t>、附录</w:t>
      </w:r>
      <w:r>
        <w:rPr>
          <w:rFonts w:ascii="Times New Roman"/>
        </w:rPr>
        <w:t>C</w:t>
      </w:r>
      <w:r>
        <w:rPr>
          <w:rFonts w:ascii="Times New Roman"/>
        </w:rPr>
        <w:t>的评价要求，结合企业证明材料的有效性和真实性，对附录</w:t>
      </w:r>
      <w:r>
        <w:rPr>
          <w:rFonts w:ascii="Times New Roman"/>
        </w:rPr>
        <w:t>A</w:t>
      </w:r>
      <w:r>
        <w:rPr>
          <w:rFonts w:ascii="Times New Roman"/>
        </w:rPr>
        <w:t>、附录</w:t>
      </w:r>
      <w:r>
        <w:rPr>
          <w:rFonts w:ascii="Times New Roman"/>
        </w:rPr>
        <w:t>C</w:t>
      </w:r>
      <w:r>
        <w:rPr>
          <w:rFonts w:ascii="Times New Roman"/>
        </w:rPr>
        <w:t>的指标进行资料评价打分，资料评价时争议项</w:t>
      </w:r>
      <w:proofErr w:type="gramStart"/>
      <w:r>
        <w:rPr>
          <w:rFonts w:ascii="Times New Roman"/>
        </w:rPr>
        <w:t>由资料评价组</w:t>
      </w:r>
      <w:proofErr w:type="gramEnd"/>
      <w:r>
        <w:rPr>
          <w:rFonts w:ascii="Times New Roman"/>
        </w:rPr>
        <w:t>组长综合资料</w:t>
      </w:r>
      <w:proofErr w:type="gramStart"/>
      <w:r>
        <w:rPr>
          <w:rFonts w:ascii="Times New Roman"/>
        </w:rPr>
        <w:t>评价组</w:t>
      </w:r>
      <w:proofErr w:type="gramEnd"/>
      <w:r>
        <w:rPr>
          <w:rFonts w:ascii="Times New Roman"/>
        </w:rPr>
        <w:t>全体成员意见后确定。</w:t>
      </w:r>
    </w:p>
    <w:p w:rsidR="003E2CFB" w:rsidRDefault="004807BF">
      <w:pPr>
        <w:pStyle w:val="afffffe"/>
        <w:snapToGrid w:val="0"/>
        <w:spacing w:before="0" w:after="0" w:line="400" w:lineRule="exact"/>
        <w:rPr>
          <w:rFonts w:ascii="Times New Roman"/>
        </w:rPr>
      </w:pPr>
      <w:r>
        <w:rPr>
          <w:rFonts w:ascii="Times New Roman"/>
        </w:rPr>
        <w:t>通过资料评价的企业，可进入现场评价环节。现场评</w:t>
      </w:r>
      <w:r>
        <w:rPr>
          <w:rFonts w:ascii="Times New Roman"/>
        </w:rPr>
        <w:t>价前，工业品、农产品企业应分别根据附录</w:t>
      </w:r>
      <w:r>
        <w:rPr>
          <w:rFonts w:ascii="Times New Roman"/>
        </w:rPr>
        <w:t>B</w:t>
      </w:r>
      <w:r>
        <w:rPr>
          <w:rFonts w:ascii="Times New Roman"/>
        </w:rPr>
        <w:t>、附录</w:t>
      </w:r>
      <w:r>
        <w:rPr>
          <w:rFonts w:ascii="Times New Roman"/>
        </w:rPr>
        <w:t>D</w:t>
      </w:r>
      <w:r>
        <w:rPr>
          <w:rFonts w:ascii="Times New Roman"/>
        </w:rPr>
        <w:t>的评价指标准备证明材料供现场评价工作组现场查阅，安排人员配合现场评价工作组实地考察相关场所。</w:t>
      </w:r>
    </w:p>
    <w:p w:rsidR="003E2CFB" w:rsidRDefault="004807BF">
      <w:pPr>
        <w:pStyle w:val="afffffe"/>
        <w:snapToGrid w:val="0"/>
        <w:spacing w:before="0" w:after="0" w:line="400" w:lineRule="exact"/>
        <w:rPr>
          <w:rFonts w:ascii="Times New Roman"/>
        </w:rPr>
      </w:pPr>
      <w:r>
        <w:rPr>
          <w:rFonts w:ascii="Times New Roman"/>
        </w:rPr>
        <w:t>现场评价工作组根据附录</w:t>
      </w:r>
      <w:r>
        <w:rPr>
          <w:rFonts w:ascii="Times New Roman"/>
        </w:rPr>
        <w:t>B</w:t>
      </w:r>
      <w:r>
        <w:rPr>
          <w:rFonts w:ascii="Times New Roman"/>
        </w:rPr>
        <w:t>、附录</w:t>
      </w:r>
      <w:r>
        <w:rPr>
          <w:rFonts w:ascii="Times New Roman"/>
        </w:rPr>
        <w:t>D</w:t>
      </w:r>
      <w:r>
        <w:rPr>
          <w:rFonts w:ascii="Times New Roman"/>
        </w:rPr>
        <w:t>的评价要求，结合企业证明材料的有效性和真实性、现场管理情况，对附录</w:t>
      </w:r>
      <w:r>
        <w:rPr>
          <w:rFonts w:ascii="Times New Roman"/>
        </w:rPr>
        <w:t>B</w:t>
      </w:r>
      <w:r>
        <w:rPr>
          <w:rFonts w:ascii="Times New Roman"/>
        </w:rPr>
        <w:t>、附录</w:t>
      </w:r>
      <w:r>
        <w:rPr>
          <w:rFonts w:ascii="Times New Roman"/>
        </w:rPr>
        <w:t>D</w:t>
      </w:r>
      <w:r>
        <w:rPr>
          <w:rFonts w:ascii="Times New Roman"/>
        </w:rPr>
        <w:t>的指标进行现场评价打分，现场评价时争议项由现场</w:t>
      </w:r>
      <w:proofErr w:type="gramStart"/>
      <w:r>
        <w:rPr>
          <w:rFonts w:ascii="Times New Roman"/>
        </w:rPr>
        <w:t>评价组</w:t>
      </w:r>
      <w:proofErr w:type="gramEnd"/>
      <w:r>
        <w:rPr>
          <w:rFonts w:ascii="Times New Roman"/>
        </w:rPr>
        <w:t>组长综合现场</w:t>
      </w:r>
      <w:proofErr w:type="gramStart"/>
      <w:r>
        <w:rPr>
          <w:rFonts w:ascii="Times New Roman"/>
        </w:rPr>
        <w:t>评价组</w:t>
      </w:r>
      <w:proofErr w:type="gramEnd"/>
      <w:r>
        <w:rPr>
          <w:rFonts w:ascii="Times New Roman"/>
        </w:rPr>
        <w:t>全体成员意见后确定。</w:t>
      </w:r>
    </w:p>
    <w:p w:rsidR="003E2CFB" w:rsidRDefault="004807BF">
      <w:pPr>
        <w:pStyle w:val="afffffe"/>
        <w:snapToGrid w:val="0"/>
        <w:spacing w:before="0" w:after="0" w:line="400" w:lineRule="exact"/>
        <w:rPr>
          <w:rFonts w:ascii="Times New Roman"/>
        </w:rPr>
      </w:pPr>
      <w:r>
        <w:rPr>
          <w:rFonts w:ascii="Times New Roman"/>
        </w:rPr>
        <w:t>评价后，评价机构汇总各企业资料评价及现场评价得分，形成各企业东莞优品评价总分。</w:t>
      </w:r>
    </w:p>
    <w:p w:rsidR="003E2CFB" w:rsidRDefault="004807BF">
      <w:pPr>
        <w:pStyle w:val="a5"/>
        <w:snapToGrid w:val="0"/>
        <w:spacing w:before="156" w:after="156" w:line="400" w:lineRule="exact"/>
        <w:rPr>
          <w:rFonts w:ascii="Times New Roman"/>
        </w:rPr>
      </w:pPr>
      <w:r>
        <w:rPr>
          <w:rFonts w:ascii="Times New Roman"/>
        </w:rPr>
        <w:t>异议处理</w:t>
      </w:r>
    </w:p>
    <w:p w:rsidR="003E2CFB" w:rsidRDefault="004807BF">
      <w:pPr>
        <w:pStyle w:val="afffffe"/>
        <w:snapToGrid w:val="0"/>
        <w:spacing w:before="0" w:after="0" w:line="400" w:lineRule="exact"/>
        <w:rPr>
          <w:rFonts w:ascii="Times New Roman"/>
        </w:rPr>
      </w:pPr>
      <w:r>
        <w:rPr>
          <w:rFonts w:ascii="Times New Roman"/>
        </w:rPr>
        <w:t>企业对评价结果提出异议时，评价机构应对异议的情况进行确认，必要时组织专家按本文件</w:t>
      </w:r>
      <w:r>
        <w:rPr>
          <w:rFonts w:ascii="Times New Roman"/>
        </w:rPr>
        <w:t>第</w:t>
      </w:r>
      <w:r>
        <w:rPr>
          <w:rFonts w:ascii="Times New Roman"/>
        </w:rPr>
        <w:t>6.3.4</w:t>
      </w:r>
      <w:r>
        <w:rPr>
          <w:rFonts w:ascii="Times New Roman"/>
        </w:rPr>
        <w:t>条程序进行复核评价。</w:t>
      </w:r>
    </w:p>
    <w:p w:rsidR="003E2CFB" w:rsidRDefault="004807BF">
      <w:pPr>
        <w:pStyle w:val="afffffe"/>
        <w:snapToGrid w:val="0"/>
        <w:spacing w:before="0" w:after="0" w:line="400" w:lineRule="exact"/>
        <w:rPr>
          <w:rFonts w:ascii="Times New Roman"/>
        </w:rPr>
      </w:pPr>
      <w:r>
        <w:rPr>
          <w:rFonts w:ascii="Times New Roman"/>
        </w:rPr>
        <w:t>复核后确定</w:t>
      </w:r>
      <w:proofErr w:type="gramStart"/>
      <w:r>
        <w:rPr>
          <w:rFonts w:ascii="Times New Roman"/>
        </w:rPr>
        <w:t>原评价</w:t>
      </w:r>
      <w:proofErr w:type="gramEnd"/>
      <w:r>
        <w:rPr>
          <w:rFonts w:ascii="Times New Roman"/>
        </w:rPr>
        <w:t>结果存在错误的，应予以改正并告知企业最终结果。</w:t>
      </w:r>
    </w:p>
    <w:p w:rsidR="003E2CFB" w:rsidRDefault="004807BF">
      <w:pPr>
        <w:pStyle w:val="a5"/>
        <w:snapToGrid w:val="0"/>
        <w:spacing w:before="156" w:after="156" w:line="400" w:lineRule="exact"/>
        <w:rPr>
          <w:rFonts w:ascii="Times New Roman"/>
        </w:rPr>
      </w:pPr>
      <w:r>
        <w:rPr>
          <w:rFonts w:ascii="Times New Roman"/>
        </w:rPr>
        <w:lastRenderedPageBreak/>
        <w:t>评价报告</w:t>
      </w:r>
    </w:p>
    <w:p w:rsidR="003E2CFB" w:rsidRDefault="004807BF">
      <w:pPr>
        <w:pStyle w:val="afff"/>
        <w:snapToGrid w:val="0"/>
        <w:spacing w:line="400" w:lineRule="exact"/>
        <w:rPr>
          <w:rFonts w:ascii="Times New Roman"/>
        </w:rPr>
      </w:pPr>
      <w:r>
        <w:rPr>
          <w:rFonts w:ascii="Times New Roman"/>
        </w:rPr>
        <w:t>评价工作完成后应形成评价报告，报告内容应包括：</w:t>
      </w:r>
    </w:p>
    <w:p w:rsidR="003E2CFB" w:rsidRDefault="004807BF">
      <w:pPr>
        <w:pStyle w:val="afff"/>
        <w:snapToGrid w:val="0"/>
        <w:spacing w:line="400" w:lineRule="exact"/>
        <w:rPr>
          <w:rFonts w:ascii="Times New Roman"/>
        </w:rPr>
      </w:pPr>
      <w:r>
        <w:rPr>
          <w:rFonts w:ascii="Times New Roman"/>
        </w:rPr>
        <w:t>——</w:t>
      </w:r>
      <w:r>
        <w:rPr>
          <w:rFonts w:ascii="Times New Roman"/>
        </w:rPr>
        <w:t>评价对象；</w:t>
      </w:r>
    </w:p>
    <w:p w:rsidR="003E2CFB" w:rsidRDefault="004807BF">
      <w:pPr>
        <w:pStyle w:val="afff"/>
        <w:snapToGrid w:val="0"/>
        <w:spacing w:line="400" w:lineRule="exact"/>
        <w:rPr>
          <w:rFonts w:ascii="Times New Roman"/>
        </w:rPr>
      </w:pPr>
      <w:r>
        <w:rPr>
          <w:rFonts w:ascii="Times New Roman"/>
        </w:rPr>
        <w:t>——</w:t>
      </w:r>
      <w:r>
        <w:rPr>
          <w:rFonts w:ascii="Times New Roman"/>
        </w:rPr>
        <w:t>评价依据；</w:t>
      </w:r>
    </w:p>
    <w:p w:rsidR="003E2CFB" w:rsidRDefault="004807BF">
      <w:pPr>
        <w:pStyle w:val="afff"/>
        <w:snapToGrid w:val="0"/>
        <w:spacing w:line="400" w:lineRule="exact"/>
        <w:rPr>
          <w:rFonts w:ascii="Times New Roman"/>
        </w:rPr>
      </w:pPr>
      <w:r>
        <w:rPr>
          <w:rFonts w:ascii="Times New Roman"/>
        </w:rPr>
        <w:t>——</w:t>
      </w:r>
      <w:r>
        <w:rPr>
          <w:rFonts w:ascii="Times New Roman"/>
        </w:rPr>
        <w:t>评价方式及原则；</w:t>
      </w:r>
    </w:p>
    <w:p w:rsidR="003E2CFB" w:rsidRDefault="004807BF">
      <w:pPr>
        <w:pStyle w:val="afff"/>
        <w:snapToGrid w:val="0"/>
        <w:spacing w:line="400" w:lineRule="exact"/>
        <w:rPr>
          <w:rFonts w:ascii="Times New Roman"/>
        </w:rPr>
      </w:pPr>
      <w:r>
        <w:rPr>
          <w:rFonts w:ascii="Times New Roman"/>
        </w:rPr>
        <w:t>——</w:t>
      </w:r>
      <w:r>
        <w:rPr>
          <w:rFonts w:ascii="Times New Roman"/>
        </w:rPr>
        <w:t>评价体系；</w:t>
      </w:r>
    </w:p>
    <w:p w:rsidR="003E2CFB" w:rsidRDefault="004807BF">
      <w:pPr>
        <w:pStyle w:val="afff"/>
        <w:snapToGrid w:val="0"/>
        <w:spacing w:line="400" w:lineRule="exact"/>
        <w:rPr>
          <w:rFonts w:ascii="Times New Roman"/>
        </w:rPr>
      </w:pPr>
      <w:r>
        <w:rPr>
          <w:rFonts w:ascii="Times New Roman"/>
        </w:rPr>
        <w:t>——</w:t>
      </w:r>
      <w:r>
        <w:rPr>
          <w:rFonts w:ascii="Times New Roman"/>
        </w:rPr>
        <w:t>评价分组及专家安排；</w:t>
      </w:r>
    </w:p>
    <w:p w:rsidR="003E2CFB" w:rsidRDefault="004807BF">
      <w:pPr>
        <w:pStyle w:val="afff"/>
        <w:snapToGrid w:val="0"/>
        <w:spacing w:line="400" w:lineRule="exact"/>
        <w:rPr>
          <w:rFonts w:ascii="Times New Roman"/>
        </w:rPr>
      </w:pPr>
      <w:r>
        <w:rPr>
          <w:rFonts w:ascii="Times New Roman"/>
        </w:rPr>
        <w:t>——</w:t>
      </w:r>
      <w:r>
        <w:rPr>
          <w:rFonts w:ascii="Times New Roman"/>
        </w:rPr>
        <w:t>评价流程和结果。</w:t>
      </w:r>
    </w:p>
    <w:p w:rsidR="003E2CFB" w:rsidRDefault="004807BF">
      <w:pPr>
        <w:pStyle w:val="a3"/>
        <w:snapToGrid w:val="0"/>
        <w:spacing w:before="312" w:after="312" w:line="400" w:lineRule="exact"/>
        <w:rPr>
          <w:rFonts w:ascii="Times New Roman"/>
        </w:rPr>
      </w:pPr>
      <w:r>
        <w:rPr>
          <w:rFonts w:ascii="Times New Roman"/>
        </w:rPr>
        <w:t>评价文档管理</w:t>
      </w:r>
    </w:p>
    <w:p w:rsidR="003E2CFB" w:rsidRDefault="004807BF">
      <w:pPr>
        <w:pStyle w:val="affffff7"/>
        <w:snapToGrid w:val="0"/>
        <w:spacing w:line="400" w:lineRule="exact"/>
        <w:rPr>
          <w:rFonts w:ascii="Times New Roman"/>
        </w:rPr>
      </w:pPr>
      <w:r>
        <w:rPr>
          <w:rFonts w:ascii="Times New Roman"/>
        </w:rPr>
        <w:t>评价过程所形成的原始记录应</w:t>
      </w:r>
      <w:proofErr w:type="gramStart"/>
      <w:r>
        <w:rPr>
          <w:rFonts w:ascii="Times New Roman"/>
        </w:rPr>
        <w:t>由评价</w:t>
      </w:r>
      <w:proofErr w:type="gramEnd"/>
      <w:r>
        <w:rPr>
          <w:rFonts w:ascii="Times New Roman"/>
        </w:rPr>
        <w:t>机构安排专人保管，保管期限不少于</w:t>
      </w:r>
      <w:r>
        <w:rPr>
          <w:rFonts w:ascii="Times New Roman"/>
        </w:rPr>
        <w:t>3</w:t>
      </w:r>
      <w:r>
        <w:rPr>
          <w:rFonts w:ascii="Times New Roman"/>
        </w:rPr>
        <w:t>年。</w:t>
      </w:r>
    </w:p>
    <w:p w:rsidR="003E2CFB" w:rsidRDefault="004807BF">
      <w:pPr>
        <w:pStyle w:val="affffff7"/>
        <w:snapToGrid w:val="0"/>
        <w:spacing w:line="400" w:lineRule="exact"/>
        <w:rPr>
          <w:rFonts w:ascii="Times New Roman"/>
        </w:rPr>
      </w:pPr>
      <w:r>
        <w:rPr>
          <w:rFonts w:ascii="Times New Roman"/>
        </w:rPr>
        <w:t>评价机构应采取有效措施对文档进行安全保管，并切实加强对涉及企业商业秘密的资料保护。</w:t>
      </w:r>
    </w:p>
    <w:p w:rsidR="003E2CFB" w:rsidRDefault="004807BF">
      <w:pPr>
        <w:pStyle w:val="a3"/>
        <w:snapToGrid w:val="0"/>
        <w:spacing w:before="312" w:after="312" w:line="400" w:lineRule="exact"/>
        <w:rPr>
          <w:rFonts w:ascii="Times New Roman"/>
        </w:rPr>
      </w:pPr>
      <w:r>
        <w:rPr>
          <w:rFonts w:ascii="Times New Roman"/>
        </w:rPr>
        <w:t>评价质量的持续改进</w:t>
      </w:r>
    </w:p>
    <w:p w:rsidR="003E2CFB" w:rsidRDefault="004807BF">
      <w:pPr>
        <w:pStyle w:val="affffff7"/>
        <w:snapToGrid w:val="0"/>
        <w:spacing w:line="400" w:lineRule="exact"/>
        <w:rPr>
          <w:rFonts w:ascii="Times New Roman"/>
        </w:rPr>
      </w:pPr>
      <w:r>
        <w:rPr>
          <w:rFonts w:ascii="Times New Roman"/>
        </w:rPr>
        <w:t>评价机构应设立监督机构，由专职人员负责监督评价工作的运行情况，确保评价的客观性和公正性。</w:t>
      </w:r>
    </w:p>
    <w:p w:rsidR="003E2CFB" w:rsidRDefault="004807BF">
      <w:pPr>
        <w:pStyle w:val="affffff7"/>
        <w:snapToGrid w:val="0"/>
        <w:spacing w:line="400" w:lineRule="exact"/>
        <w:rPr>
          <w:rFonts w:ascii="Times New Roman"/>
        </w:rPr>
      </w:pPr>
      <w:r>
        <w:rPr>
          <w:rFonts w:ascii="Times New Roman"/>
        </w:rPr>
        <w:t>东莞优品管理部门应持续修正各项评价指标、评价要求及其赋值。</w:t>
      </w:r>
    </w:p>
    <w:p w:rsidR="003E2CFB" w:rsidRDefault="004807BF">
      <w:pPr>
        <w:pStyle w:val="affffff7"/>
        <w:snapToGrid w:val="0"/>
        <w:spacing w:line="400" w:lineRule="exact"/>
        <w:rPr>
          <w:rFonts w:ascii="Times New Roman"/>
        </w:rPr>
      </w:pPr>
      <w:r>
        <w:rPr>
          <w:rFonts w:ascii="Times New Roman"/>
        </w:rPr>
        <w:t>东莞优品管理部门应总结每次评价过程，分析评价方法的有效性、可靠性，促进后续评价工作的评价质量持续提升。</w:t>
      </w:r>
    </w:p>
    <w:p w:rsidR="003E2CFB" w:rsidRDefault="003E2CFB">
      <w:pPr>
        <w:pStyle w:val="a3"/>
        <w:numPr>
          <w:ilvl w:val="0"/>
          <w:numId w:val="0"/>
        </w:numPr>
        <w:spacing w:before="312" w:after="312"/>
        <w:rPr>
          <w:rFonts w:ascii="Times New Roman"/>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4807BF">
      <w:pPr>
        <w:rPr>
          <w:rFonts w:eastAsia="黑体"/>
        </w:rPr>
      </w:pPr>
      <w:r>
        <w:rPr>
          <w:rFonts w:eastAsia="黑体"/>
        </w:rPr>
        <w:br w:type="page"/>
      </w:r>
    </w:p>
    <w:p w:rsidR="003E2CFB" w:rsidRDefault="004807BF">
      <w:pPr>
        <w:pStyle w:val="afffc"/>
        <w:numPr>
          <w:ilvl w:val="2"/>
          <w:numId w:val="0"/>
        </w:numPr>
        <w:jc w:val="center"/>
        <w:rPr>
          <w:rFonts w:ascii="Times New Roman" w:eastAsia="黑体"/>
        </w:rPr>
      </w:pPr>
      <w:r>
        <w:rPr>
          <w:rFonts w:ascii="Times New Roman" w:eastAsia="黑体"/>
        </w:rPr>
        <w:lastRenderedPageBreak/>
        <w:t>附</w:t>
      </w:r>
      <w:r>
        <w:rPr>
          <w:rFonts w:ascii="Times New Roman" w:eastAsia="黑体"/>
        </w:rPr>
        <w:t xml:space="preserve"> </w:t>
      </w:r>
      <w:r>
        <w:rPr>
          <w:rFonts w:ascii="Times New Roman" w:eastAsia="黑体"/>
        </w:rPr>
        <w:t>录</w:t>
      </w:r>
      <w:r>
        <w:rPr>
          <w:rFonts w:ascii="Times New Roman" w:eastAsia="黑体"/>
        </w:rPr>
        <w:t xml:space="preserve"> A</w:t>
      </w:r>
    </w:p>
    <w:p w:rsidR="003E2CFB" w:rsidRDefault="004807BF">
      <w:pPr>
        <w:pStyle w:val="afffc"/>
        <w:numPr>
          <w:ilvl w:val="2"/>
          <w:numId w:val="0"/>
        </w:numPr>
        <w:jc w:val="center"/>
        <w:rPr>
          <w:rFonts w:ascii="Times New Roman" w:eastAsia="黑体"/>
        </w:rPr>
      </w:pPr>
      <w:r>
        <w:rPr>
          <w:rFonts w:ascii="Times New Roman" w:eastAsia="黑体"/>
        </w:rPr>
        <w:t>(</w:t>
      </w:r>
      <w:r>
        <w:rPr>
          <w:rFonts w:ascii="Times New Roman" w:eastAsia="黑体"/>
        </w:rPr>
        <w:t>规范性</w:t>
      </w:r>
      <w:r>
        <w:rPr>
          <w:rFonts w:ascii="Times New Roman" w:eastAsia="黑体"/>
        </w:rPr>
        <w:t>)</w:t>
      </w:r>
    </w:p>
    <w:p w:rsidR="003E2CFB" w:rsidRDefault="004807BF">
      <w:pPr>
        <w:pStyle w:val="afffc"/>
        <w:numPr>
          <w:ilvl w:val="2"/>
          <w:numId w:val="0"/>
        </w:numPr>
        <w:snapToGrid w:val="0"/>
        <w:spacing w:after="283"/>
        <w:jc w:val="center"/>
        <w:rPr>
          <w:rFonts w:ascii="Times New Roman" w:eastAsia="黑体"/>
        </w:rPr>
      </w:pPr>
      <w:r>
        <w:rPr>
          <w:rFonts w:ascii="Times New Roman" w:eastAsia="黑体"/>
        </w:rPr>
        <w:t>工业品资料评价指标及评价要求</w:t>
      </w:r>
    </w:p>
    <w:p w:rsidR="003E2CFB" w:rsidRDefault="004807BF">
      <w:pPr>
        <w:pStyle w:val="afffc"/>
        <w:numPr>
          <w:ilvl w:val="2"/>
          <w:numId w:val="0"/>
        </w:numPr>
        <w:ind w:firstLine="420"/>
        <w:jc w:val="both"/>
        <w:rPr>
          <w:rFonts w:ascii="Times New Roman"/>
        </w:rPr>
      </w:pPr>
      <w:r>
        <w:rPr>
          <w:rFonts w:ascii="Times New Roman"/>
        </w:rPr>
        <w:t>工业品资料评价指标、评价要求及分值见表</w:t>
      </w:r>
      <w:r>
        <w:rPr>
          <w:rFonts w:ascii="Times New Roman"/>
        </w:rPr>
        <w:t>A.1</w:t>
      </w:r>
      <w:r>
        <w:rPr>
          <w:rFonts w:ascii="Times New Roman"/>
        </w:rPr>
        <w:t>。</w:t>
      </w:r>
    </w:p>
    <w:p w:rsidR="003E2CFB" w:rsidRDefault="004807BF" w:rsidP="00847364">
      <w:pPr>
        <w:pStyle w:val="afffc"/>
        <w:numPr>
          <w:ilvl w:val="2"/>
          <w:numId w:val="0"/>
        </w:numPr>
        <w:spacing w:beforeLines="50" w:afterLines="50"/>
        <w:jc w:val="center"/>
        <w:rPr>
          <w:rFonts w:ascii="Times New Roman" w:eastAsia="黑体"/>
        </w:rPr>
      </w:pPr>
      <w:r>
        <w:rPr>
          <w:rFonts w:ascii="Times New Roman" w:eastAsia="黑体"/>
        </w:rPr>
        <w:t>表</w:t>
      </w:r>
      <w:r>
        <w:rPr>
          <w:rFonts w:ascii="Times New Roman" w:eastAsia="黑体"/>
        </w:rPr>
        <w:t xml:space="preserve"> A.1  </w:t>
      </w:r>
      <w:r>
        <w:rPr>
          <w:rFonts w:ascii="Times New Roman" w:eastAsia="黑体"/>
        </w:rPr>
        <w:t>工业品</w:t>
      </w:r>
      <w:r>
        <w:rPr>
          <w:rFonts w:ascii="Times New Roman" w:eastAsia="黑体"/>
        </w:rPr>
        <w:t>资料评价指标及评价要求</w:t>
      </w:r>
    </w:p>
    <w:tbl>
      <w:tblPr>
        <w:tblW w:w="9150" w:type="dxa"/>
        <w:jc w:val="center"/>
        <w:tblLayout w:type="fixed"/>
        <w:tblLook w:val="04A0"/>
      </w:tblPr>
      <w:tblGrid>
        <w:gridCol w:w="659"/>
        <w:gridCol w:w="1080"/>
        <w:gridCol w:w="1331"/>
        <w:gridCol w:w="5032"/>
        <w:gridCol w:w="1048"/>
      </w:tblGrid>
      <w:tr w:rsidR="003E2CFB">
        <w:trPr>
          <w:jc w:val="center"/>
        </w:trPr>
        <w:tc>
          <w:tcPr>
            <w:tcW w:w="659" w:type="dxa"/>
            <w:vMerge w:val="restart"/>
            <w:tcBorders>
              <w:top w:val="single" w:sz="8" w:space="0" w:color="auto"/>
              <w:left w:val="single" w:sz="8" w:space="0" w:color="auto"/>
              <w:bottom w:val="nil"/>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2411" w:type="dxa"/>
            <w:gridSpan w:val="2"/>
            <w:tcBorders>
              <w:top w:val="single" w:sz="8" w:space="0" w:color="auto"/>
              <w:left w:val="single" w:sz="4"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指标名称</w:t>
            </w:r>
          </w:p>
        </w:tc>
        <w:tc>
          <w:tcPr>
            <w:tcW w:w="5032" w:type="dxa"/>
            <w:vMerge w:val="restart"/>
            <w:tcBorders>
              <w:top w:val="single" w:sz="8" w:space="0" w:color="auto"/>
              <w:left w:val="single" w:sz="4" w:space="0" w:color="auto"/>
              <w:bottom w:val="single" w:sz="8"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048" w:type="dxa"/>
            <w:vMerge w:val="restart"/>
            <w:tcBorders>
              <w:top w:val="single" w:sz="8" w:space="0" w:color="auto"/>
              <w:left w:val="single" w:sz="4" w:space="0" w:color="auto"/>
              <w:bottom w:val="single" w:sz="8"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jc w:val="center"/>
        </w:trPr>
        <w:tc>
          <w:tcPr>
            <w:tcW w:w="659" w:type="dxa"/>
            <w:vMerge/>
            <w:tcBorders>
              <w:top w:val="nil"/>
              <w:left w:val="single" w:sz="8" w:space="0" w:color="auto"/>
              <w:bottom w:val="single" w:sz="8" w:space="0" w:color="auto"/>
              <w:right w:val="single" w:sz="4" w:space="0" w:color="auto"/>
            </w:tcBorders>
            <w:vAlign w:val="center"/>
          </w:tcPr>
          <w:p w:rsidR="003E2CFB" w:rsidRDefault="003E2CFB">
            <w:pPr>
              <w:snapToGrid w:val="0"/>
              <w:jc w:val="center"/>
              <w:rPr>
                <w:sz w:val="18"/>
                <w:szCs w:val="18"/>
              </w:rPr>
            </w:pPr>
          </w:p>
        </w:tc>
        <w:tc>
          <w:tcPr>
            <w:tcW w:w="1080" w:type="dxa"/>
            <w:tcBorders>
              <w:top w:val="single" w:sz="4" w:space="0" w:color="auto"/>
              <w:left w:val="single" w:sz="4" w:space="0" w:color="auto"/>
              <w:bottom w:val="single" w:sz="8"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一级指标</w:t>
            </w:r>
          </w:p>
        </w:tc>
        <w:tc>
          <w:tcPr>
            <w:tcW w:w="1331" w:type="dxa"/>
            <w:tcBorders>
              <w:top w:val="single" w:sz="4" w:space="0" w:color="auto"/>
              <w:left w:val="single" w:sz="4" w:space="0" w:color="auto"/>
              <w:bottom w:val="single" w:sz="8"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二级指标</w:t>
            </w:r>
          </w:p>
        </w:tc>
        <w:tc>
          <w:tcPr>
            <w:tcW w:w="5032" w:type="dxa"/>
            <w:vMerge/>
            <w:tcBorders>
              <w:top w:val="single" w:sz="8" w:space="0" w:color="auto"/>
              <w:left w:val="single" w:sz="4" w:space="0" w:color="auto"/>
              <w:bottom w:val="single" w:sz="4" w:space="0" w:color="auto"/>
              <w:right w:val="single" w:sz="4" w:space="0" w:color="auto"/>
            </w:tcBorders>
            <w:vAlign w:val="center"/>
          </w:tcPr>
          <w:p w:rsidR="003E2CFB" w:rsidRDefault="003E2CFB">
            <w:pPr>
              <w:snapToGrid w:val="0"/>
              <w:jc w:val="center"/>
              <w:rPr>
                <w:sz w:val="18"/>
                <w:szCs w:val="18"/>
              </w:rPr>
            </w:pPr>
          </w:p>
        </w:tc>
        <w:tc>
          <w:tcPr>
            <w:tcW w:w="1048" w:type="dxa"/>
            <w:vMerge/>
            <w:tcBorders>
              <w:top w:val="single" w:sz="8" w:space="0" w:color="auto"/>
              <w:left w:val="single" w:sz="4" w:space="0" w:color="auto"/>
              <w:bottom w:val="single" w:sz="4" w:space="0" w:color="auto"/>
              <w:right w:val="single" w:sz="8" w:space="0" w:color="auto"/>
            </w:tcBorders>
            <w:vAlign w:val="center"/>
          </w:tcPr>
          <w:p w:rsidR="003E2CFB" w:rsidRDefault="003E2CFB">
            <w:pPr>
              <w:snapToGrid w:val="0"/>
              <w:jc w:val="center"/>
              <w:rPr>
                <w:sz w:val="18"/>
                <w:szCs w:val="18"/>
              </w:rPr>
            </w:pP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  </w:t>
            </w:r>
            <w:r>
              <w:rPr>
                <w:kern w:val="0"/>
                <w:sz w:val="18"/>
                <w:szCs w:val="18"/>
                <w:lang/>
              </w:rPr>
              <w:t>组织管理</w:t>
            </w:r>
          </w:p>
        </w:tc>
        <w:tc>
          <w:tcPr>
            <w:tcW w:w="1331"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1.1  </w:t>
            </w:r>
            <w:r>
              <w:rPr>
                <w:kern w:val="0"/>
                <w:sz w:val="18"/>
                <w:szCs w:val="18"/>
                <w:lang/>
              </w:rPr>
              <w:t>管理体系</w:t>
            </w:r>
          </w:p>
        </w:tc>
        <w:tc>
          <w:tcPr>
            <w:tcW w:w="5032" w:type="dxa"/>
            <w:tcBorders>
              <w:top w:val="single" w:sz="8"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1.1.1  </w:t>
            </w:r>
            <w:r>
              <w:rPr>
                <w:kern w:val="0"/>
                <w:sz w:val="18"/>
                <w:szCs w:val="18"/>
                <w:lang/>
              </w:rPr>
              <w:t>建立完善的企业管理体系，并保持运行和持续改进</w:t>
            </w:r>
            <w:r>
              <w:rPr>
                <w:kern w:val="0"/>
                <w:sz w:val="18"/>
                <w:szCs w:val="18"/>
                <w:lang/>
              </w:rPr>
              <w:t>，通过相关管理体系</w:t>
            </w:r>
            <w:r>
              <w:rPr>
                <w:kern w:val="0"/>
                <w:sz w:val="18"/>
                <w:szCs w:val="18"/>
                <w:lang/>
              </w:rPr>
              <w:t>认证</w:t>
            </w:r>
            <w:r>
              <w:rPr>
                <w:kern w:val="0"/>
                <w:sz w:val="18"/>
                <w:szCs w:val="18"/>
                <w:lang/>
              </w:rPr>
              <w:t>，如质量管理体系、环境管理体系、职业健康安全管理体系、测量管理体系、能源管理体系、食品安全管理体系等认证。</w:t>
            </w:r>
          </w:p>
        </w:tc>
        <w:tc>
          <w:tcPr>
            <w:tcW w:w="1048" w:type="dxa"/>
            <w:tcBorders>
              <w:top w:val="single" w:sz="8"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80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2</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331"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1.2  </w:t>
            </w:r>
            <w:r>
              <w:rPr>
                <w:rFonts w:hint="eastAsia"/>
                <w:kern w:val="0"/>
                <w:sz w:val="18"/>
                <w:szCs w:val="18"/>
                <w:lang/>
              </w:rPr>
              <w:t>组织架构</w:t>
            </w: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1.2.1  </w:t>
            </w:r>
            <w:r>
              <w:rPr>
                <w:kern w:val="0"/>
                <w:sz w:val="18"/>
                <w:szCs w:val="18"/>
                <w:lang/>
              </w:rPr>
              <w:t>根据企业管理要求建立合适的组织架构，有完善的组织</w:t>
            </w:r>
            <w:r>
              <w:rPr>
                <w:kern w:val="0"/>
                <w:sz w:val="18"/>
                <w:szCs w:val="18"/>
                <w:lang/>
              </w:rPr>
              <w:t>架构</w:t>
            </w:r>
            <w:r>
              <w:rPr>
                <w:kern w:val="0"/>
                <w:sz w:val="18"/>
                <w:szCs w:val="18"/>
                <w:lang/>
              </w:rPr>
              <w:t>图，明确管理层次，设置相应的部门和岗位。</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3</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331" w:type="dxa"/>
            <w:tcBorders>
              <w:top w:val="single" w:sz="4" w:space="0" w:color="auto"/>
              <w:left w:val="single" w:sz="4" w:space="0" w:color="auto"/>
              <w:bottom w:val="single" w:sz="4" w:space="0" w:color="auto"/>
              <w:right w:val="single" w:sz="4" w:space="0" w:color="auto"/>
            </w:tcBorders>
            <w:vAlign w:val="center"/>
          </w:tcPr>
          <w:p w:rsidR="003E2CFB" w:rsidRDefault="004807BF">
            <w:pPr>
              <w:snapToGrid w:val="0"/>
              <w:jc w:val="left"/>
              <w:rPr>
                <w:sz w:val="18"/>
                <w:szCs w:val="18"/>
              </w:rPr>
            </w:pPr>
            <w:r>
              <w:rPr>
                <w:rFonts w:hint="eastAsia"/>
                <w:sz w:val="18"/>
                <w:szCs w:val="18"/>
              </w:rPr>
              <w:t xml:space="preserve">1.3  </w:t>
            </w:r>
            <w:r>
              <w:rPr>
                <w:rFonts w:hint="eastAsia"/>
                <w:sz w:val="18"/>
                <w:szCs w:val="18"/>
              </w:rPr>
              <w:t>质量战略</w:t>
            </w: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1</w:t>
            </w:r>
            <w:r>
              <w:rPr>
                <w:rFonts w:hint="eastAsia"/>
                <w:kern w:val="0"/>
                <w:sz w:val="18"/>
                <w:szCs w:val="18"/>
                <w:lang/>
              </w:rPr>
              <w:t>.3</w:t>
            </w:r>
            <w:r>
              <w:rPr>
                <w:kern w:val="0"/>
                <w:sz w:val="18"/>
                <w:szCs w:val="18"/>
                <w:lang/>
              </w:rPr>
              <w:t>.</w:t>
            </w:r>
            <w:r>
              <w:rPr>
                <w:rFonts w:hint="eastAsia"/>
                <w:kern w:val="0"/>
                <w:sz w:val="18"/>
                <w:szCs w:val="18"/>
                <w:lang/>
              </w:rPr>
              <w:t>1</w:t>
            </w:r>
            <w:r>
              <w:rPr>
                <w:kern w:val="0"/>
                <w:sz w:val="18"/>
                <w:szCs w:val="18"/>
                <w:lang/>
              </w:rPr>
              <w:t xml:space="preserve">  </w:t>
            </w:r>
            <w:r>
              <w:rPr>
                <w:kern w:val="0"/>
                <w:sz w:val="18"/>
                <w:szCs w:val="18"/>
                <w:lang/>
              </w:rPr>
              <w:t>将质量战略纳入组织总体战略策划</w:t>
            </w:r>
            <w:r>
              <w:rPr>
                <w:rFonts w:hint="eastAsia"/>
                <w:kern w:val="0"/>
                <w:sz w:val="18"/>
                <w:szCs w:val="18"/>
                <w:lang/>
              </w:rPr>
              <w:t>，</w:t>
            </w:r>
            <w:r>
              <w:rPr>
                <w:kern w:val="0"/>
                <w:sz w:val="18"/>
                <w:szCs w:val="18"/>
                <w:lang/>
              </w:rPr>
              <w:t>制定质量方针和质量目标，并将其传达给所有员工，质量目标应可量化和适宜的。</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4</w:t>
            </w:r>
          </w:p>
        </w:tc>
        <w:tc>
          <w:tcPr>
            <w:tcW w:w="1080" w:type="dxa"/>
            <w:vMerge w:val="restart"/>
            <w:tcBorders>
              <w:top w:val="single" w:sz="4" w:space="0" w:color="auto"/>
              <w:left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  </w:t>
            </w:r>
            <w:r>
              <w:rPr>
                <w:kern w:val="0"/>
                <w:sz w:val="18"/>
                <w:szCs w:val="18"/>
                <w:lang/>
              </w:rPr>
              <w:t>资源管理</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2.1  </w:t>
            </w:r>
            <w:r>
              <w:rPr>
                <w:kern w:val="0"/>
                <w:sz w:val="18"/>
                <w:szCs w:val="18"/>
                <w:lang/>
              </w:rPr>
              <w:t>人力资源管理</w:t>
            </w: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2.1.1  </w:t>
            </w:r>
            <w:r>
              <w:rPr>
                <w:kern w:val="0"/>
                <w:sz w:val="18"/>
                <w:szCs w:val="18"/>
                <w:lang/>
              </w:rPr>
              <w:t>建立人力资源管理制度，内容包括但不限于：招聘、培训、任用、解聘等管理要求，符合相关法律、法规要求。</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5</w:t>
            </w:r>
          </w:p>
        </w:tc>
        <w:tc>
          <w:tcPr>
            <w:tcW w:w="1080" w:type="dxa"/>
            <w:vMerge/>
            <w:tcBorders>
              <w:left w:val="single" w:sz="4" w:space="0" w:color="auto"/>
              <w:right w:val="single" w:sz="4" w:space="0" w:color="auto"/>
            </w:tcBorders>
            <w:vAlign w:val="center"/>
          </w:tcPr>
          <w:p w:rsidR="003E2CFB" w:rsidRDefault="003E2CFB">
            <w:pPr>
              <w:snapToGrid w:val="0"/>
              <w:jc w:val="left"/>
              <w:rPr>
                <w:sz w:val="18"/>
                <w:szCs w:val="18"/>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2.1.2  </w:t>
            </w:r>
            <w:r>
              <w:rPr>
                <w:kern w:val="0"/>
                <w:sz w:val="18"/>
                <w:szCs w:val="18"/>
                <w:lang/>
              </w:rPr>
              <w:t>制定和实施满足岗位要求的能力培训计划，并保留培训记录。</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6</w:t>
            </w:r>
          </w:p>
        </w:tc>
        <w:tc>
          <w:tcPr>
            <w:tcW w:w="1080" w:type="dxa"/>
            <w:vMerge/>
            <w:tcBorders>
              <w:left w:val="single" w:sz="4" w:space="0" w:color="auto"/>
              <w:right w:val="single" w:sz="4" w:space="0" w:color="auto"/>
            </w:tcBorders>
            <w:vAlign w:val="center"/>
          </w:tcPr>
          <w:p w:rsidR="003E2CFB" w:rsidRDefault="003E2CFB">
            <w:pPr>
              <w:snapToGrid w:val="0"/>
              <w:jc w:val="left"/>
              <w:rPr>
                <w:sz w:val="18"/>
                <w:szCs w:val="18"/>
              </w:rPr>
            </w:pP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2.2  </w:t>
            </w:r>
            <w:r>
              <w:rPr>
                <w:kern w:val="0"/>
                <w:sz w:val="18"/>
                <w:szCs w:val="18"/>
                <w:lang/>
              </w:rPr>
              <w:t>设施、设备管理</w:t>
            </w: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2.2.1  </w:t>
            </w:r>
            <w:r>
              <w:rPr>
                <w:kern w:val="0"/>
                <w:sz w:val="18"/>
                <w:szCs w:val="18"/>
                <w:lang/>
              </w:rPr>
              <w:t>建立设施设备的管理程序，内容包括但不限于：设施设备的配置、选型、验收、安装调试、保养、维修和报废等管理要求。</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30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7</w:t>
            </w:r>
          </w:p>
        </w:tc>
        <w:tc>
          <w:tcPr>
            <w:tcW w:w="1080" w:type="dxa"/>
            <w:vMerge/>
            <w:tcBorders>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2.2.2  </w:t>
            </w:r>
            <w:r>
              <w:rPr>
                <w:kern w:val="0"/>
                <w:sz w:val="18"/>
                <w:szCs w:val="18"/>
                <w:lang/>
              </w:rPr>
              <w:t>建立监视测量设备管理程序，内容包括但不限于监视测量设备的购置、选型、验收、校准、标识和报废等管理要求。</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8</w:t>
            </w:r>
          </w:p>
        </w:tc>
        <w:tc>
          <w:tcPr>
            <w:tcW w:w="1080" w:type="dxa"/>
            <w:vMerge w:val="restart"/>
            <w:tcBorders>
              <w:left w:val="single" w:sz="4" w:space="0" w:color="auto"/>
              <w:right w:val="single" w:sz="4" w:space="0" w:color="auto"/>
            </w:tcBorders>
            <w:vAlign w:val="center"/>
          </w:tcPr>
          <w:p w:rsidR="003E2CFB" w:rsidRDefault="004807BF">
            <w:pPr>
              <w:snapToGrid w:val="0"/>
              <w:jc w:val="left"/>
              <w:rPr>
                <w:sz w:val="18"/>
                <w:szCs w:val="18"/>
              </w:rPr>
            </w:pPr>
            <w:r>
              <w:rPr>
                <w:kern w:val="0"/>
                <w:sz w:val="18"/>
                <w:szCs w:val="18"/>
                <w:lang/>
              </w:rPr>
              <w:t xml:space="preserve">3  </w:t>
            </w:r>
            <w:r>
              <w:rPr>
                <w:kern w:val="0"/>
                <w:sz w:val="18"/>
                <w:szCs w:val="18"/>
                <w:lang/>
              </w:rPr>
              <w:t>过程管理</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1</w:t>
            </w:r>
            <w:r>
              <w:rPr>
                <w:kern w:val="0"/>
                <w:sz w:val="18"/>
                <w:szCs w:val="18"/>
                <w:lang/>
              </w:rPr>
              <w:t xml:space="preserve">  </w:t>
            </w:r>
            <w:r>
              <w:rPr>
                <w:kern w:val="0"/>
                <w:sz w:val="18"/>
                <w:szCs w:val="18"/>
                <w:lang/>
              </w:rPr>
              <w:t>产品和工艺的设计与开发</w:t>
            </w: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1</w:t>
            </w:r>
            <w:r>
              <w:rPr>
                <w:kern w:val="0"/>
                <w:sz w:val="18"/>
                <w:szCs w:val="18"/>
                <w:lang/>
              </w:rPr>
              <w:t xml:space="preserve">.1  </w:t>
            </w:r>
            <w:r>
              <w:rPr>
                <w:kern w:val="0"/>
                <w:sz w:val="18"/>
                <w:szCs w:val="18"/>
                <w:lang/>
              </w:rPr>
              <w:t>建立产品开发或工艺设计程序，内容包括但不限于：设计和开发的策划、输入、控制、输出及更改、样品管理等过程的要求。</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9</w:t>
            </w:r>
          </w:p>
        </w:tc>
        <w:tc>
          <w:tcPr>
            <w:tcW w:w="1080" w:type="dxa"/>
            <w:vMerge/>
            <w:tcBorders>
              <w:left w:val="single" w:sz="4" w:space="0" w:color="auto"/>
              <w:right w:val="single" w:sz="4" w:space="0" w:color="auto"/>
            </w:tcBorders>
            <w:vAlign w:val="center"/>
          </w:tcPr>
          <w:p w:rsidR="003E2CFB" w:rsidRDefault="003E2CFB">
            <w:pPr>
              <w:snapToGrid w:val="0"/>
              <w:jc w:val="left"/>
              <w:rPr>
                <w:sz w:val="18"/>
                <w:szCs w:val="18"/>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1</w:t>
            </w:r>
            <w:r>
              <w:rPr>
                <w:kern w:val="0"/>
                <w:sz w:val="18"/>
                <w:szCs w:val="18"/>
                <w:lang/>
              </w:rPr>
              <w:t>.</w:t>
            </w:r>
            <w:r>
              <w:rPr>
                <w:kern w:val="0"/>
                <w:sz w:val="18"/>
                <w:szCs w:val="18"/>
                <w:lang/>
              </w:rPr>
              <w:t>2</w:t>
            </w:r>
            <w:r>
              <w:rPr>
                <w:kern w:val="0"/>
                <w:sz w:val="18"/>
                <w:szCs w:val="18"/>
                <w:lang/>
              </w:rPr>
              <w:t xml:space="preserve">  </w:t>
            </w:r>
            <w:r>
              <w:rPr>
                <w:kern w:val="0"/>
                <w:sz w:val="18"/>
                <w:szCs w:val="18"/>
                <w:lang/>
              </w:rPr>
              <w:t>在产品投入批量生产前，按照确定的标准实施产品检测，保留检测记录。</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30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10</w:t>
            </w:r>
          </w:p>
        </w:tc>
        <w:tc>
          <w:tcPr>
            <w:tcW w:w="1080" w:type="dxa"/>
            <w:vMerge/>
            <w:tcBorders>
              <w:left w:val="single" w:sz="4" w:space="0" w:color="auto"/>
              <w:right w:val="single" w:sz="4" w:space="0" w:color="auto"/>
            </w:tcBorders>
            <w:vAlign w:val="center"/>
          </w:tcPr>
          <w:p w:rsidR="003E2CFB" w:rsidRDefault="003E2CFB">
            <w:pPr>
              <w:snapToGrid w:val="0"/>
              <w:jc w:val="center"/>
              <w:rPr>
                <w:sz w:val="18"/>
                <w:szCs w:val="18"/>
              </w:rPr>
            </w:pPr>
          </w:p>
        </w:tc>
        <w:tc>
          <w:tcPr>
            <w:tcW w:w="1331"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center"/>
              <w:rPr>
                <w:sz w:val="18"/>
                <w:szCs w:val="18"/>
              </w:rPr>
            </w:pP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1</w:t>
            </w:r>
            <w:r>
              <w:rPr>
                <w:kern w:val="0"/>
                <w:sz w:val="18"/>
                <w:szCs w:val="18"/>
                <w:lang/>
              </w:rPr>
              <w:t>.</w:t>
            </w:r>
            <w:r>
              <w:rPr>
                <w:kern w:val="0"/>
                <w:sz w:val="18"/>
                <w:szCs w:val="18"/>
                <w:lang/>
              </w:rPr>
              <w:t>3</w:t>
            </w:r>
            <w:r>
              <w:rPr>
                <w:kern w:val="0"/>
                <w:sz w:val="18"/>
                <w:szCs w:val="18"/>
                <w:lang/>
              </w:rPr>
              <w:t xml:space="preserve">  </w:t>
            </w:r>
            <w:r>
              <w:rPr>
                <w:kern w:val="0"/>
                <w:sz w:val="18"/>
                <w:szCs w:val="18"/>
                <w:lang/>
              </w:rPr>
              <w:t>对新产品的安全性进行评估和验证，包括但不限于：自主评价、第三方验证、客户验证等。</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30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11</w:t>
            </w:r>
          </w:p>
        </w:tc>
        <w:tc>
          <w:tcPr>
            <w:tcW w:w="1080" w:type="dxa"/>
            <w:vMerge/>
            <w:tcBorders>
              <w:left w:val="single" w:sz="4" w:space="0" w:color="auto"/>
              <w:right w:val="single" w:sz="4" w:space="0" w:color="auto"/>
            </w:tcBorders>
            <w:vAlign w:val="center"/>
          </w:tcPr>
          <w:p w:rsidR="003E2CFB" w:rsidRDefault="003E2CFB">
            <w:pPr>
              <w:snapToGrid w:val="0"/>
              <w:jc w:val="center"/>
              <w:rPr>
                <w:sz w:val="18"/>
                <w:szCs w:val="18"/>
              </w:rPr>
            </w:pPr>
          </w:p>
        </w:tc>
        <w:tc>
          <w:tcPr>
            <w:tcW w:w="1331" w:type="dxa"/>
            <w:vMerge w:val="restart"/>
            <w:tcBorders>
              <w:top w:val="single" w:sz="4" w:space="0" w:color="auto"/>
              <w:left w:val="single" w:sz="4" w:space="0" w:color="auto"/>
              <w:right w:val="single" w:sz="4" w:space="0" w:color="auto"/>
            </w:tcBorders>
            <w:vAlign w:val="center"/>
          </w:tcPr>
          <w:p w:rsidR="003E2CFB" w:rsidRDefault="004807BF">
            <w:pPr>
              <w:snapToGrid w:val="0"/>
              <w:rPr>
                <w:sz w:val="18"/>
                <w:szCs w:val="18"/>
              </w:rPr>
            </w:pPr>
            <w:r>
              <w:rPr>
                <w:kern w:val="0"/>
                <w:sz w:val="18"/>
                <w:szCs w:val="18"/>
                <w:lang/>
              </w:rPr>
              <w:t>3.</w:t>
            </w:r>
            <w:r>
              <w:rPr>
                <w:kern w:val="0"/>
                <w:sz w:val="18"/>
                <w:szCs w:val="18"/>
                <w:lang/>
              </w:rPr>
              <w:t>2</w:t>
            </w:r>
            <w:r>
              <w:rPr>
                <w:kern w:val="0"/>
                <w:sz w:val="18"/>
                <w:szCs w:val="18"/>
                <w:lang/>
              </w:rPr>
              <w:t xml:space="preserve">  </w:t>
            </w:r>
            <w:r>
              <w:rPr>
                <w:kern w:val="0"/>
                <w:sz w:val="18"/>
                <w:szCs w:val="18"/>
                <w:lang/>
              </w:rPr>
              <w:t>采购管理</w:t>
            </w:r>
          </w:p>
        </w:tc>
        <w:tc>
          <w:tcPr>
            <w:tcW w:w="5032"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2</w:t>
            </w:r>
            <w:r>
              <w:rPr>
                <w:kern w:val="0"/>
                <w:sz w:val="18"/>
                <w:szCs w:val="18"/>
                <w:lang/>
              </w:rPr>
              <w:t xml:space="preserve">.1  </w:t>
            </w:r>
            <w:r>
              <w:rPr>
                <w:kern w:val="0"/>
                <w:sz w:val="18"/>
                <w:szCs w:val="18"/>
                <w:lang/>
              </w:rPr>
              <w:t>建立供应商（含外包方）管理程序，内容包括但不限于：供应商的选择准则、初次评价和定期评价、初次供货和批量供货验收、不合格品处置等要求。</w:t>
            </w:r>
          </w:p>
        </w:tc>
        <w:tc>
          <w:tcPr>
            <w:tcW w:w="1048"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30</w:t>
            </w:r>
          </w:p>
        </w:tc>
      </w:tr>
      <w:tr w:rsidR="003E2CFB">
        <w:trPr>
          <w:jc w:val="center"/>
        </w:trPr>
        <w:tc>
          <w:tcPr>
            <w:tcW w:w="659" w:type="dxa"/>
            <w:tcBorders>
              <w:top w:val="single" w:sz="4" w:space="0" w:color="auto"/>
              <w:left w:val="single" w:sz="8" w:space="0" w:color="auto"/>
              <w:bottom w:val="single" w:sz="8"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12</w:t>
            </w:r>
          </w:p>
        </w:tc>
        <w:tc>
          <w:tcPr>
            <w:tcW w:w="1080" w:type="dxa"/>
            <w:vMerge/>
            <w:tcBorders>
              <w:left w:val="single" w:sz="4" w:space="0" w:color="auto"/>
              <w:bottom w:val="single" w:sz="8" w:space="0" w:color="auto"/>
              <w:right w:val="single" w:sz="4" w:space="0" w:color="auto"/>
            </w:tcBorders>
            <w:vAlign w:val="center"/>
          </w:tcPr>
          <w:p w:rsidR="003E2CFB" w:rsidRDefault="003E2CFB">
            <w:pPr>
              <w:snapToGrid w:val="0"/>
              <w:jc w:val="center"/>
              <w:rPr>
                <w:sz w:val="18"/>
                <w:szCs w:val="18"/>
              </w:rPr>
            </w:pPr>
          </w:p>
        </w:tc>
        <w:tc>
          <w:tcPr>
            <w:tcW w:w="1331" w:type="dxa"/>
            <w:vMerge/>
            <w:tcBorders>
              <w:left w:val="single" w:sz="4" w:space="0" w:color="auto"/>
              <w:bottom w:val="single" w:sz="8" w:space="0" w:color="auto"/>
              <w:right w:val="single" w:sz="4" w:space="0" w:color="auto"/>
            </w:tcBorders>
            <w:vAlign w:val="center"/>
          </w:tcPr>
          <w:p w:rsidR="003E2CFB" w:rsidRDefault="003E2CFB">
            <w:pPr>
              <w:snapToGrid w:val="0"/>
              <w:rPr>
                <w:kern w:val="0"/>
                <w:sz w:val="18"/>
                <w:szCs w:val="18"/>
                <w:lang/>
              </w:rPr>
            </w:pPr>
          </w:p>
        </w:tc>
        <w:tc>
          <w:tcPr>
            <w:tcW w:w="5032" w:type="dxa"/>
            <w:tcBorders>
              <w:top w:val="single" w:sz="4" w:space="0" w:color="auto"/>
              <w:left w:val="single" w:sz="4" w:space="0" w:color="auto"/>
              <w:bottom w:val="single" w:sz="8"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3.</w:t>
            </w:r>
            <w:r>
              <w:rPr>
                <w:kern w:val="0"/>
                <w:sz w:val="18"/>
                <w:szCs w:val="18"/>
                <w:lang/>
              </w:rPr>
              <w:t>2</w:t>
            </w:r>
            <w:r>
              <w:rPr>
                <w:kern w:val="0"/>
                <w:sz w:val="18"/>
                <w:szCs w:val="18"/>
                <w:lang/>
              </w:rPr>
              <w:t xml:space="preserve">.2  </w:t>
            </w:r>
            <w:r>
              <w:rPr>
                <w:kern w:val="0"/>
                <w:sz w:val="18"/>
                <w:szCs w:val="18"/>
                <w:lang/>
              </w:rPr>
              <w:t>建立合格供应商（含外包方）清单，包括满足合</w:t>
            </w:r>
            <w:proofErr w:type="gramStart"/>
            <w:r>
              <w:rPr>
                <w:kern w:val="0"/>
                <w:sz w:val="18"/>
                <w:szCs w:val="18"/>
                <w:lang/>
              </w:rPr>
              <w:t>规</w:t>
            </w:r>
            <w:proofErr w:type="gramEnd"/>
            <w:r>
              <w:rPr>
                <w:kern w:val="0"/>
                <w:sz w:val="18"/>
                <w:szCs w:val="18"/>
                <w:lang/>
              </w:rPr>
              <w:t>要求的证明材料。</w:t>
            </w:r>
          </w:p>
        </w:tc>
        <w:tc>
          <w:tcPr>
            <w:tcW w:w="1048" w:type="dxa"/>
            <w:tcBorders>
              <w:top w:val="single" w:sz="4" w:space="0" w:color="auto"/>
              <w:left w:val="single" w:sz="4" w:space="0" w:color="auto"/>
              <w:bottom w:val="single" w:sz="8" w:space="0" w:color="auto"/>
              <w:right w:val="single" w:sz="8"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30</w:t>
            </w:r>
          </w:p>
        </w:tc>
      </w:tr>
    </w:tbl>
    <w:p w:rsidR="003E2CFB" w:rsidRDefault="004807BF" w:rsidP="00847364">
      <w:pPr>
        <w:pStyle w:val="afffc"/>
        <w:numPr>
          <w:ilvl w:val="2"/>
          <w:numId w:val="0"/>
        </w:numPr>
        <w:spacing w:beforeLines="50" w:afterLines="50"/>
        <w:jc w:val="center"/>
        <w:rPr>
          <w:rFonts w:ascii="Times New Roman" w:eastAsia="黑体"/>
        </w:rPr>
      </w:pPr>
      <w:r>
        <w:rPr>
          <w:rFonts w:ascii="Times New Roman" w:eastAsia="黑体"/>
        </w:rPr>
        <w:t>表</w:t>
      </w:r>
      <w:r>
        <w:rPr>
          <w:rFonts w:ascii="Times New Roman" w:eastAsia="黑体"/>
        </w:rPr>
        <w:t xml:space="preserve"> A.1  </w:t>
      </w:r>
      <w:r>
        <w:rPr>
          <w:rFonts w:ascii="Times New Roman" w:eastAsia="黑体"/>
        </w:rPr>
        <w:t>工业品</w:t>
      </w:r>
      <w:r>
        <w:rPr>
          <w:rFonts w:ascii="Times New Roman" w:eastAsia="黑体"/>
        </w:rPr>
        <w:t>资料评价指标及评价要求（续）</w:t>
      </w:r>
    </w:p>
    <w:tbl>
      <w:tblPr>
        <w:tblW w:w="9150" w:type="dxa"/>
        <w:jc w:val="center"/>
        <w:tblLayout w:type="fixed"/>
        <w:tblLook w:val="04A0"/>
      </w:tblPr>
      <w:tblGrid>
        <w:gridCol w:w="659"/>
        <w:gridCol w:w="1080"/>
        <w:gridCol w:w="1318"/>
        <w:gridCol w:w="5032"/>
        <w:gridCol w:w="1061"/>
      </w:tblGrid>
      <w:tr w:rsidR="003E2CFB">
        <w:trPr>
          <w:jc w:val="center"/>
        </w:trPr>
        <w:tc>
          <w:tcPr>
            <w:tcW w:w="659" w:type="dxa"/>
            <w:vMerge w:val="restart"/>
            <w:tcBorders>
              <w:top w:val="single" w:sz="8"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2398" w:type="dxa"/>
            <w:gridSpan w:val="2"/>
            <w:tcBorders>
              <w:top w:val="single" w:sz="8" w:space="0" w:color="000000"/>
              <w:left w:val="single" w:sz="4" w:space="0" w:color="000000"/>
              <w:bottom w:val="single" w:sz="4" w:space="0" w:color="000000"/>
              <w:right w:val="single" w:sz="4" w:space="0" w:color="000000"/>
            </w:tcBorders>
            <w:vAlign w:val="center"/>
          </w:tcPr>
          <w:p w:rsidR="003E2CFB" w:rsidRDefault="004807BF">
            <w:pPr>
              <w:snapToGrid w:val="0"/>
              <w:jc w:val="center"/>
              <w:rPr>
                <w:sz w:val="18"/>
                <w:szCs w:val="18"/>
              </w:rPr>
            </w:pPr>
            <w:r>
              <w:rPr>
                <w:kern w:val="0"/>
                <w:sz w:val="18"/>
                <w:szCs w:val="18"/>
                <w:lang/>
              </w:rPr>
              <w:t>指标名称</w:t>
            </w:r>
          </w:p>
        </w:tc>
        <w:tc>
          <w:tcPr>
            <w:tcW w:w="5032" w:type="dxa"/>
            <w:vMerge w:val="restart"/>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061" w:type="dxa"/>
            <w:vMerge w:val="restart"/>
            <w:tcBorders>
              <w:top w:val="single" w:sz="8"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jc w:val="center"/>
        </w:trPr>
        <w:tc>
          <w:tcPr>
            <w:tcW w:w="659" w:type="dxa"/>
            <w:vMerge/>
            <w:tcBorders>
              <w:top w:val="single" w:sz="8" w:space="0" w:color="000000"/>
              <w:left w:val="single" w:sz="8" w:space="0" w:color="000000"/>
              <w:bottom w:val="single" w:sz="8" w:space="0" w:color="000000"/>
              <w:right w:val="single" w:sz="4" w:space="0" w:color="000000"/>
            </w:tcBorders>
            <w:vAlign w:val="center"/>
          </w:tcPr>
          <w:p w:rsidR="003E2CFB" w:rsidRDefault="003E2CFB">
            <w:pPr>
              <w:widowControl/>
              <w:snapToGrid w:val="0"/>
              <w:jc w:val="center"/>
              <w:textAlignment w:val="center"/>
              <w:rPr>
                <w:sz w:val="18"/>
                <w:szCs w:val="18"/>
              </w:rPr>
            </w:pPr>
          </w:p>
        </w:tc>
        <w:tc>
          <w:tcPr>
            <w:tcW w:w="1080" w:type="dxa"/>
            <w:tcBorders>
              <w:top w:val="single" w:sz="4"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一级指标</w:t>
            </w:r>
          </w:p>
        </w:tc>
        <w:tc>
          <w:tcPr>
            <w:tcW w:w="1318" w:type="dxa"/>
            <w:tcBorders>
              <w:top w:val="single" w:sz="4"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二级指标</w:t>
            </w:r>
          </w:p>
        </w:tc>
        <w:tc>
          <w:tcPr>
            <w:tcW w:w="5032" w:type="dxa"/>
            <w:vMerge/>
            <w:tcBorders>
              <w:top w:val="single" w:sz="4" w:space="0" w:color="000000"/>
              <w:left w:val="single" w:sz="4" w:space="0" w:color="000000"/>
              <w:bottom w:val="single" w:sz="8" w:space="0" w:color="000000"/>
              <w:right w:val="single" w:sz="4" w:space="0" w:color="000000"/>
            </w:tcBorders>
            <w:vAlign w:val="center"/>
          </w:tcPr>
          <w:p w:rsidR="003E2CFB" w:rsidRDefault="003E2CFB">
            <w:pPr>
              <w:widowControl/>
              <w:snapToGrid w:val="0"/>
              <w:jc w:val="left"/>
              <w:textAlignment w:val="center"/>
              <w:rPr>
                <w:sz w:val="18"/>
                <w:szCs w:val="18"/>
              </w:rPr>
            </w:pPr>
          </w:p>
        </w:tc>
        <w:tc>
          <w:tcPr>
            <w:tcW w:w="1061" w:type="dxa"/>
            <w:vMerge/>
            <w:tcBorders>
              <w:top w:val="single" w:sz="4" w:space="0" w:color="000000"/>
              <w:left w:val="single" w:sz="4" w:space="0" w:color="000000"/>
              <w:bottom w:val="single" w:sz="8" w:space="0" w:color="000000"/>
              <w:right w:val="single" w:sz="8" w:space="0" w:color="000000"/>
            </w:tcBorders>
            <w:vAlign w:val="center"/>
          </w:tcPr>
          <w:p w:rsidR="003E2CFB" w:rsidRDefault="003E2CFB">
            <w:pPr>
              <w:widowControl/>
              <w:snapToGrid w:val="0"/>
              <w:jc w:val="center"/>
              <w:textAlignment w:val="center"/>
              <w:rPr>
                <w:sz w:val="18"/>
                <w:szCs w:val="18"/>
              </w:rPr>
            </w:pP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13</w:t>
            </w:r>
          </w:p>
        </w:tc>
        <w:tc>
          <w:tcPr>
            <w:tcW w:w="1080" w:type="dxa"/>
            <w:vMerge w:val="restart"/>
            <w:tcBorders>
              <w:top w:val="single" w:sz="4" w:space="0" w:color="000000"/>
              <w:left w:val="single" w:sz="4" w:space="0" w:color="000000"/>
              <w:right w:val="single" w:sz="4" w:space="0" w:color="000000"/>
            </w:tcBorders>
            <w:vAlign w:val="center"/>
          </w:tcPr>
          <w:p w:rsidR="003E2CFB" w:rsidRDefault="004807BF">
            <w:pPr>
              <w:snapToGrid w:val="0"/>
              <w:jc w:val="left"/>
              <w:rPr>
                <w:sz w:val="18"/>
                <w:szCs w:val="18"/>
              </w:rPr>
            </w:pPr>
            <w:r>
              <w:rPr>
                <w:kern w:val="0"/>
                <w:sz w:val="18"/>
                <w:szCs w:val="18"/>
                <w:lang/>
              </w:rPr>
              <w:t xml:space="preserve">3  </w:t>
            </w:r>
            <w:r>
              <w:rPr>
                <w:kern w:val="0"/>
                <w:sz w:val="18"/>
                <w:szCs w:val="18"/>
                <w:lang/>
              </w:rPr>
              <w:t>过程管理</w:t>
            </w:r>
          </w:p>
        </w:tc>
        <w:tc>
          <w:tcPr>
            <w:tcW w:w="1318"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3</w:t>
            </w:r>
            <w:r>
              <w:rPr>
                <w:kern w:val="0"/>
                <w:sz w:val="18"/>
                <w:szCs w:val="18"/>
                <w:lang/>
              </w:rPr>
              <w:t xml:space="preserve">  </w:t>
            </w:r>
            <w:r>
              <w:rPr>
                <w:kern w:val="0"/>
                <w:sz w:val="18"/>
                <w:szCs w:val="18"/>
                <w:lang/>
              </w:rPr>
              <w:t>仓储及物流管理</w:t>
            </w: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3</w:t>
            </w:r>
            <w:r>
              <w:rPr>
                <w:kern w:val="0"/>
                <w:sz w:val="18"/>
                <w:szCs w:val="18"/>
                <w:lang/>
              </w:rPr>
              <w:t xml:space="preserve">.1  </w:t>
            </w:r>
            <w:r>
              <w:rPr>
                <w:kern w:val="0"/>
                <w:sz w:val="18"/>
                <w:szCs w:val="18"/>
                <w:lang/>
              </w:rPr>
              <w:t>建立仓库管理程序，内容包括但不限于：仓库的环境控制、出入库管理、仓存品的标识、防护和定期盘点等要求。</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14</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4</w:t>
            </w:r>
            <w:r>
              <w:rPr>
                <w:kern w:val="0"/>
                <w:sz w:val="18"/>
                <w:szCs w:val="18"/>
                <w:lang/>
              </w:rPr>
              <w:t xml:space="preserve">  </w:t>
            </w:r>
            <w:r>
              <w:rPr>
                <w:kern w:val="0"/>
                <w:sz w:val="18"/>
                <w:szCs w:val="18"/>
                <w:lang/>
              </w:rPr>
              <w:t>产品质量控制</w:t>
            </w: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4</w:t>
            </w:r>
            <w:r>
              <w:rPr>
                <w:kern w:val="0"/>
                <w:sz w:val="18"/>
                <w:szCs w:val="18"/>
                <w:lang/>
              </w:rPr>
              <w:t xml:space="preserve">.1  </w:t>
            </w:r>
            <w:r>
              <w:rPr>
                <w:kern w:val="0"/>
                <w:sz w:val="18"/>
                <w:szCs w:val="18"/>
                <w:lang/>
              </w:rPr>
              <w:t>建立产品质量风险控制程序，内容包括但不限于：风险的识别、评估、关键点控制、反馈和改进，形成闭环管理。</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40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4</w:t>
            </w:r>
            <w:r>
              <w:rPr>
                <w:kern w:val="0"/>
                <w:sz w:val="18"/>
                <w:szCs w:val="18"/>
                <w:lang/>
              </w:rPr>
              <w:t xml:space="preserve">.2  </w:t>
            </w:r>
            <w:r>
              <w:rPr>
                <w:kern w:val="0"/>
                <w:sz w:val="18"/>
                <w:szCs w:val="18"/>
                <w:lang/>
              </w:rPr>
              <w:t>建立不合格品控制程序，内容包括但不限于：不合格品的判定权限、标识、处置等要求。</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30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16</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  </w:t>
            </w:r>
            <w:r>
              <w:rPr>
                <w:kern w:val="0"/>
                <w:sz w:val="18"/>
                <w:szCs w:val="18"/>
                <w:lang/>
              </w:rPr>
              <w:t>产品责任及</w:t>
            </w:r>
            <w:r>
              <w:rPr>
                <w:kern w:val="0"/>
                <w:sz w:val="18"/>
                <w:szCs w:val="18"/>
                <w:lang/>
              </w:rPr>
              <w:t>客户</w:t>
            </w:r>
            <w:r>
              <w:rPr>
                <w:kern w:val="0"/>
                <w:sz w:val="18"/>
                <w:szCs w:val="18"/>
                <w:lang/>
              </w:rPr>
              <w:t>权益保障</w:t>
            </w: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4.1  </w:t>
            </w:r>
            <w:r>
              <w:rPr>
                <w:kern w:val="0"/>
                <w:sz w:val="18"/>
                <w:szCs w:val="18"/>
                <w:lang/>
              </w:rPr>
              <w:t>产品责任</w:t>
            </w: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4.1.1  </w:t>
            </w:r>
            <w:r>
              <w:rPr>
                <w:kern w:val="0"/>
                <w:sz w:val="18"/>
                <w:szCs w:val="18"/>
                <w:lang/>
              </w:rPr>
              <w:t>公开其申报产品所执行的标准，公开内容和要求应符合国家相关法律法规和规章制度的规定。</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30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17</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4.1.2  </w:t>
            </w:r>
            <w:r>
              <w:rPr>
                <w:kern w:val="0"/>
                <w:sz w:val="18"/>
                <w:szCs w:val="18"/>
                <w:lang/>
              </w:rPr>
              <w:t>采取有效措施确保商品条码质量，避免因商品条码难以识读造成商品流通障碍。</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18</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4.1.3  </w:t>
            </w:r>
            <w:r>
              <w:rPr>
                <w:kern w:val="0"/>
                <w:sz w:val="18"/>
                <w:szCs w:val="18"/>
                <w:lang/>
              </w:rPr>
              <w:t>在产品或其包装、标签、铭牌、附带文件中标注产品警示与提醒信息。</w:t>
            </w:r>
          </w:p>
          <w:p w:rsidR="003E2CFB" w:rsidRDefault="004807BF">
            <w:pPr>
              <w:widowControl/>
              <w:snapToGrid w:val="0"/>
              <w:jc w:val="left"/>
              <w:textAlignment w:val="center"/>
              <w:rPr>
                <w:sz w:val="18"/>
                <w:szCs w:val="18"/>
              </w:rPr>
            </w:pPr>
            <w:r>
              <w:rPr>
                <w:kern w:val="0"/>
                <w:sz w:val="18"/>
                <w:szCs w:val="18"/>
                <w:lang/>
              </w:rPr>
              <w:t>注：产品警示与提醒信息应标注的内容针对不同产品有不同要求，通常有产品质量警示、安全提醒、健康提醒、环保要求等。</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19</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4.2  </w:t>
            </w:r>
            <w:r>
              <w:rPr>
                <w:kern w:val="0"/>
                <w:sz w:val="18"/>
                <w:szCs w:val="18"/>
                <w:lang/>
              </w:rPr>
              <w:t>客户</w:t>
            </w:r>
            <w:r>
              <w:rPr>
                <w:kern w:val="0"/>
                <w:sz w:val="18"/>
                <w:szCs w:val="18"/>
                <w:lang/>
              </w:rPr>
              <w:t>权益保障</w:t>
            </w: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4.2.1  </w:t>
            </w:r>
            <w:r>
              <w:rPr>
                <w:kern w:val="0"/>
                <w:sz w:val="18"/>
                <w:szCs w:val="18"/>
                <w:lang/>
              </w:rPr>
              <w:t>建立并实施营销和广告的审查和管理制度，</w:t>
            </w:r>
            <w:r>
              <w:rPr>
                <w:kern w:val="0"/>
                <w:sz w:val="18"/>
                <w:szCs w:val="18"/>
                <w:lang/>
              </w:rPr>
              <w:t>对</w:t>
            </w:r>
            <w:r>
              <w:rPr>
                <w:kern w:val="0"/>
                <w:sz w:val="18"/>
                <w:szCs w:val="18"/>
                <w:lang/>
              </w:rPr>
              <w:t>营销方案和广告内容进行审查，避免对消费者产生消费误导或不良影</w:t>
            </w:r>
            <w:r>
              <w:rPr>
                <w:kern w:val="0"/>
                <w:sz w:val="18"/>
                <w:szCs w:val="18"/>
                <w:lang/>
              </w:rPr>
              <w:lastRenderedPageBreak/>
              <w:t>响。</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lastRenderedPageBreak/>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lastRenderedPageBreak/>
              <w:t>20</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left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4.2</w:t>
            </w:r>
            <w:r>
              <w:rPr>
                <w:kern w:val="0"/>
                <w:sz w:val="18"/>
                <w:szCs w:val="18"/>
                <w:lang/>
              </w:rPr>
              <w:t>.</w:t>
            </w:r>
            <w:r>
              <w:rPr>
                <w:kern w:val="0"/>
                <w:sz w:val="18"/>
                <w:szCs w:val="18"/>
                <w:lang/>
              </w:rPr>
              <w:t>2</w:t>
            </w:r>
            <w:r>
              <w:rPr>
                <w:kern w:val="0"/>
                <w:sz w:val="18"/>
                <w:szCs w:val="18"/>
                <w:lang/>
              </w:rPr>
              <w:t xml:space="preserve">  </w:t>
            </w:r>
            <w:r>
              <w:rPr>
                <w:kern w:val="0"/>
                <w:sz w:val="18"/>
                <w:szCs w:val="18"/>
                <w:lang/>
              </w:rPr>
              <w:t>建立完善的客户服务体系，能提供及时、有效的售后服务。</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30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21</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left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4.2.3</w:t>
            </w:r>
            <w:r>
              <w:rPr>
                <w:kern w:val="0"/>
                <w:sz w:val="18"/>
                <w:szCs w:val="18"/>
                <w:lang/>
              </w:rPr>
              <w:t xml:space="preserve">  </w:t>
            </w:r>
            <w:r>
              <w:rPr>
                <w:kern w:val="0"/>
                <w:sz w:val="18"/>
                <w:szCs w:val="18"/>
                <w:lang/>
              </w:rPr>
              <w:t>建立客户投处理程序，内容包括但不限于：投诉渠道、投诉分类、投诉处理流程、响应时效要求、改进要求等。</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30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w:t>
            </w:r>
            <w:r>
              <w:rPr>
                <w:kern w:val="0"/>
                <w:sz w:val="18"/>
                <w:szCs w:val="18"/>
                <w:lang/>
              </w:rPr>
              <w:t>2</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4.2.</w:t>
            </w:r>
            <w:r>
              <w:rPr>
                <w:kern w:val="0"/>
                <w:sz w:val="18"/>
                <w:szCs w:val="18"/>
                <w:lang/>
              </w:rPr>
              <w:t>4</w:t>
            </w:r>
            <w:r>
              <w:rPr>
                <w:kern w:val="0"/>
                <w:sz w:val="18"/>
                <w:szCs w:val="18"/>
                <w:lang/>
              </w:rPr>
              <w:t xml:space="preserve">  </w:t>
            </w:r>
            <w:r>
              <w:rPr>
                <w:kern w:val="0"/>
                <w:sz w:val="18"/>
                <w:szCs w:val="18"/>
                <w:lang/>
              </w:rPr>
              <w:t>建立产品召回程序，包括但不限于：产品缺陷的发现、危害评估、决策和报告、召回计划的制定、召回实施、后续处理与改进等关键流程。</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w:t>
            </w:r>
            <w:r>
              <w:rPr>
                <w:kern w:val="0"/>
                <w:sz w:val="18"/>
                <w:szCs w:val="18"/>
                <w:lang/>
              </w:rPr>
              <w:t>3</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5  </w:t>
            </w:r>
            <w:r>
              <w:rPr>
                <w:kern w:val="0"/>
                <w:sz w:val="18"/>
                <w:szCs w:val="18"/>
                <w:lang/>
              </w:rPr>
              <w:t>品牌管理</w:t>
            </w: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5.1  </w:t>
            </w:r>
            <w:r>
              <w:rPr>
                <w:kern w:val="0"/>
                <w:sz w:val="18"/>
                <w:szCs w:val="18"/>
                <w:lang/>
              </w:rPr>
              <w:t>品牌管理</w:t>
            </w: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5.1.1  </w:t>
            </w:r>
            <w:r>
              <w:rPr>
                <w:kern w:val="0"/>
                <w:sz w:val="18"/>
                <w:szCs w:val="18"/>
                <w:lang/>
              </w:rPr>
              <w:t>制定品牌发展规划，明确品牌发展目标、定位和核心价值，以确保品牌发展方向正确清晰。</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sz w:val="18"/>
                <w:szCs w:val="18"/>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24</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5.1.</w:t>
            </w:r>
            <w:r>
              <w:rPr>
                <w:kern w:val="0"/>
                <w:sz w:val="18"/>
                <w:szCs w:val="18"/>
                <w:lang/>
              </w:rPr>
              <w:t>2</w:t>
            </w:r>
            <w:r>
              <w:rPr>
                <w:kern w:val="0"/>
                <w:sz w:val="18"/>
                <w:szCs w:val="18"/>
                <w:lang/>
              </w:rPr>
              <w:t xml:space="preserve">  </w:t>
            </w:r>
            <w:r>
              <w:rPr>
                <w:kern w:val="0"/>
                <w:sz w:val="18"/>
                <w:szCs w:val="18"/>
                <w:lang/>
              </w:rPr>
              <w:t>采取有效的品牌传播和推广策略塑造品牌形象。</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25</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32"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5.1.</w:t>
            </w:r>
            <w:r>
              <w:rPr>
                <w:kern w:val="0"/>
                <w:sz w:val="18"/>
                <w:szCs w:val="18"/>
                <w:lang/>
              </w:rPr>
              <w:t>3</w:t>
            </w:r>
            <w:r>
              <w:rPr>
                <w:kern w:val="0"/>
                <w:sz w:val="18"/>
                <w:szCs w:val="18"/>
                <w:lang/>
              </w:rPr>
              <w:t xml:space="preserve">  </w:t>
            </w:r>
            <w:r>
              <w:rPr>
                <w:kern w:val="0"/>
                <w:sz w:val="18"/>
                <w:szCs w:val="18"/>
                <w:lang/>
              </w:rPr>
              <w:t>有较高的品牌美誉度和忠诚度。</w:t>
            </w:r>
          </w:p>
        </w:tc>
        <w:tc>
          <w:tcPr>
            <w:tcW w:w="1061"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sz w:val="18"/>
                <w:szCs w:val="18"/>
              </w:rPr>
              <w:t>20</w:t>
            </w:r>
          </w:p>
        </w:tc>
      </w:tr>
    </w:tbl>
    <w:p w:rsidR="003E2CFB" w:rsidRDefault="004807BF" w:rsidP="00847364">
      <w:pPr>
        <w:pStyle w:val="afffc"/>
        <w:numPr>
          <w:ilvl w:val="2"/>
          <w:numId w:val="0"/>
        </w:numPr>
        <w:spacing w:beforeLines="50" w:afterLines="50"/>
        <w:jc w:val="center"/>
        <w:rPr>
          <w:rFonts w:ascii="Times New Roman" w:eastAsia="黑体"/>
        </w:rPr>
      </w:pPr>
      <w:r>
        <w:rPr>
          <w:rFonts w:ascii="Times New Roman" w:eastAsia="黑体"/>
        </w:rPr>
        <w:t>表</w:t>
      </w:r>
      <w:r>
        <w:rPr>
          <w:rFonts w:ascii="Times New Roman" w:eastAsia="黑体"/>
        </w:rPr>
        <w:t xml:space="preserve"> A.1  </w:t>
      </w:r>
      <w:r>
        <w:rPr>
          <w:rFonts w:ascii="Times New Roman" w:eastAsia="黑体"/>
        </w:rPr>
        <w:t>工业品</w:t>
      </w:r>
      <w:r>
        <w:rPr>
          <w:rFonts w:ascii="Times New Roman" w:eastAsia="黑体"/>
        </w:rPr>
        <w:t>资料评价指标及评价要求（续）</w:t>
      </w:r>
    </w:p>
    <w:tbl>
      <w:tblPr>
        <w:tblW w:w="9150" w:type="dxa"/>
        <w:jc w:val="center"/>
        <w:tblLayout w:type="fixed"/>
        <w:tblLook w:val="04A0"/>
      </w:tblPr>
      <w:tblGrid>
        <w:gridCol w:w="659"/>
        <w:gridCol w:w="1080"/>
        <w:gridCol w:w="1308"/>
        <w:gridCol w:w="5059"/>
        <w:gridCol w:w="1044"/>
      </w:tblGrid>
      <w:tr w:rsidR="003E2CFB">
        <w:trPr>
          <w:jc w:val="center"/>
        </w:trPr>
        <w:tc>
          <w:tcPr>
            <w:tcW w:w="659" w:type="dxa"/>
            <w:vMerge w:val="restart"/>
            <w:tcBorders>
              <w:top w:val="single" w:sz="8"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2388" w:type="dxa"/>
            <w:gridSpan w:val="2"/>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指标名称</w:t>
            </w:r>
          </w:p>
        </w:tc>
        <w:tc>
          <w:tcPr>
            <w:tcW w:w="5059" w:type="dxa"/>
            <w:vMerge w:val="restart"/>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044" w:type="dxa"/>
            <w:vMerge w:val="restart"/>
            <w:tcBorders>
              <w:top w:val="single" w:sz="8"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trHeight w:val="90"/>
          <w:jc w:val="center"/>
        </w:trPr>
        <w:tc>
          <w:tcPr>
            <w:tcW w:w="659" w:type="dxa"/>
            <w:vMerge/>
            <w:tcBorders>
              <w:top w:val="single" w:sz="8" w:space="0" w:color="000000"/>
              <w:left w:val="single" w:sz="8" w:space="0" w:color="000000"/>
              <w:bottom w:val="single" w:sz="8" w:space="0" w:color="000000"/>
              <w:right w:val="single" w:sz="4" w:space="0" w:color="000000"/>
            </w:tcBorders>
            <w:vAlign w:val="center"/>
          </w:tcPr>
          <w:p w:rsidR="003E2CFB" w:rsidRDefault="003E2CFB">
            <w:pPr>
              <w:widowControl/>
              <w:snapToGrid w:val="0"/>
              <w:jc w:val="center"/>
              <w:textAlignment w:val="center"/>
              <w:rPr>
                <w:kern w:val="0"/>
                <w:sz w:val="18"/>
                <w:szCs w:val="18"/>
                <w:lang/>
              </w:rPr>
            </w:pPr>
          </w:p>
        </w:tc>
        <w:tc>
          <w:tcPr>
            <w:tcW w:w="1080" w:type="dxa"/>
            <w:tcBorders>
              <w:top w:val="single" w:sz="4"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一级指标</w:t>
            </w:r>
          </w:p>
        </w:tc>
        <w:tc>
          <w:tcPr>
            <w:tcW w:w="1308" w:type="dxa"/>
            <w:tcBorders>
              <w:top w:val="single" w:sz="4"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二级指标</w:t>
            </w:r>
          </w:p>
        </w:tc>
        <w:tc>
          <w:tcPr>
            <w:tcW w:w="5059" w:type="dxa"/>
            <w:vMerge/>
            <w:tcBorders>
              <w:top w:val="single" w:sz="4" w:space="0" w:color="000000"/>
              <w:left w:val="single" w:sz="4" w:space="0" w:color="000000"/>
              <w:bottom w:val="single" w:sz="8"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1044" w:type="dxa"/>
            <w:vMerge/>
            <w:tcBorders>
              <w:top w:val="single" w:sz="4" w:space="0" w:color="000000"/>
              <w:left w:val="single" w:sz="4" w:space="0" w:color="000000"/>
              <w:bottom w:val="single" w:sz="8" w:space="0" w:color="000000"/>
              <w:right w:val="single" w:sz="8" w:space="0" w:color="000000"/>
            </w:tcBorders>
            <w:vAlign w:val="center"/>
          </w:tcPr>
          <w:p w:rsidR="003E2CFB" w:rsidRDefault="003E2CFB">
            <w:pPr>
              <w:widowControl/>
              <w:snapToGrid w:val="0"/>
              <w:jc w:val="center"/>
              <w:textAlignment w:val="center"/>
              <w:rPr>
                <w:kern w:val="0"/>
                <w:sz w:val="18"/>
                <w:szCs w:val="18"/>
                <w:lang/>
              </w:rPr>
            </w:pPr>
          </w:p>
        </w:tc>
      </w:tr>
      <w:tr w:rsidR="003E2CFB">
        <w:trPr>
          <w:jc w:val="center"/>
        </w:trPr>
        <w:tc>
          <w:tcPr>
            <w:tcW w:w="659" w:type="dxa"/>
            <w:tcBorders>
              <w:top w:val="single" w:sz="8"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26</w:t>
            </w:r>
          </w:p>
        </w:tc>
        <w:tc>
          <w:tcPr>
            <w:tcW w:w="1080" w:type="dxa"/>
            <w:vMerge w:val="restart"/>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6  </w:t>
            </w:r>
            <w:r>
              <w:rPr>
                <w:kern w:val="0"/>
                <w:sz w:val="18"/>
                <w:szCs w:val="18"/>
                <w:lang/>
              </w:rPr>
              <w:t>创新能力</w:t>
            </w:r>
          </w:p>
        </w:tc>
        <w:tc>
          <w:tcPr>
            <w:tcW w:w="1308" w:type="dxa"/>
            <w:vMerge w:val="restart"/>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6.1  </w:t>
            </w:r>
            <w:r>
              <w:rPr>
                <w:kern w:val="0"/>
                <w:sz w:val="18"/>
                <w:szCs w:val="18"/>
                <w:lang/>
              </w:rPr>
              <w:t>创新能力</w:t>
            </w:r>
          </w:p>
        </w:tc>
        <w:tc>
          <w:tcPr>
            <w:tcW w:w="5059" w:type="dxa"/>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6.1.1  </w:t>
            </w:r>
            <w:r>
              <w:rPr>
                <w:kern w:val="0"/>
                <w:sz w:val="18"/>
                <w:szCs w:val="18"/>
                <w:lang/>
              </w:rPr>
              <w:t>重视技术创新和知识产权保护，取得发明专利。</w:t>
            </w:r>
          </w:p>
        </w:tc>
        <w:tc>
          <w:tcPr>
            <w:tcW w:w="1044" w:type="dxa"/>
            <w:tcBorders>
              <w:top w:val="single" w:sz="8"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27</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6.1.2  </w:t>
            </w:r>
            <w:r>
              <w:rPr>
                <w:kern w:val="0"/>
                <w:sz w:val="18"/>
                <w:szCs w:val="18"/>
                <w:lang/>
              </w:rPr>
              <w:t>在组织内建立鼓励创新的制度，包括：倡导创新的文化、对创新成果奖励等。</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28</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6.1.3  </w:t>
            </w:r>
            <w:r>
              <w:rPr>
                <w:kern w:val="0"/>
                <w:sz w:val="18"/>
                <w:szCs w:val="18"/>
                <w:lang/>
              </w:rPr>
              <w:t>加强与相关科研院所开展科技创新和成果转化的合作，完善企业创新基础能力，并取得成果。如在企业中设立包括但不限于联合研发中心、博士后工作站、技术转移中心、合作实验室、协同创新中心、院士工作站等</w:t>
            </w:r>
            <w:r>
              <w:rPr>
                <w:rFonts w:hint="eastAsia"/>
                <w:kern w:val="0"/>
                <w:sz w:val="18"/>
                <w:szCs w:val="18"/>
                <w:lang/>
              </w:rPr>
              <w:t>机构</w:t>
            </w:r>
            <w:r>
              <w:rPr>
                <w:kern w:val="0"/>
                <w:sz w:val="18"/>
                <w:szCs w:val="18"/>
                <w:lang/>
              </w:rPr>
              <w:t>，或取得高新技术企业、专精特新</w:t>
            </w:r>
            <w:r>
              <w:rPr>
                <w:kern w:val="0"/>
                <w:sz w:val="18"/>
                <w:szCs w:val="18"/>
                <w:lang/>
              </w:rPr>
              <w:t>“</w:t>
            </w:r>
            <w:r>
              <w:rPr>
                <w:kern w:val="0"/>
                <w:sz w:val="18"/>
                <w:szCs w:val="18"/>
                <w:lang/>
              </w:rPr>
              <w:t>小巨人</w:t>
            </w:r>
            <w:r>
              <w:rPr>
                <w:kern w:val="0"/>
                <w:sz w:val="18"/>
                <w:szCs w:val="18"/>
                <w:lang/>
              </w:rPr>
              <w:t>”</w:t>
            </w:r>
            <w:r>
              <w:rPr>
                <w:kern w:val="0"/>
                <w:sz w:val="18"/>
                <w:szCs w:val="18"/>
                <w:lang/>
              </w:rPr>
              <w:t>等称号。</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29</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7  </w:t>
            </w:r>
            <w:r>
              <w:rPr>
                <w:kern w:val="0"/>
                <w:sz w:val="18"/>
                <w:szCs w:val="18"/>
                <w:lang/>
              </w:rPr>
              <w:t>数字化建设</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7.1  </w:t>
            </w:r>
            <w:r>
              <w:rPr>
                <w:kern w:val="0"/>
                <w:sz w:val="18"/>
                <w:szCs w:val="18"/>
                <w:lang/>
              </w:rPr>
              <w:t>数字化建设</w:t>
            </w: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7.1.1  </w:t>
            </w:r>
            <w:r>
              <w:rPr>
                <w:kern w:val="0"/>
                <w:sz w:val="18"/>
                <w:szCs w:val="18"/>
                <w:lang/>
              </w:rPr>
              <w:t>推动生产过程智能化，包括设备自动化、生产线自动化、仓储自动化等。</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30</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7.1.2  </w:t>
            </w:r>
            <w:r>
              <w:rPr>
                <w:kern w:val="0"/>
                <w:sz w:val="18"/>
                <w:szCs w:val="18"/>
                <w:lang/>
              </w:rPr>
              <w:t>开展全面的信息化管理，包括生产计划、工艺流程、质量控制等方面的信息化处理。</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31</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8  </w:t>
            </w:r>
            <w:r>
              <w:rPr>
                <w:kern w:val="0"/>
                <w:sz w:val="18"/>
                <w:szCs w:val="18"/>
                <w:lang/>
              </w:rPr>
              <w:t>绿色发展</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8.1  </w:t>
            </w:r>
            <w:r>
              <w:rPr>
                <w:kern w:val="0"/>
                <w:sz w:val="18"/>
                <w:szCs w:val="18"/>
                <w:lang/>
              </w:rPr>
              <w:t>绿色发展</w:t>
            </w: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8.1.1  </w:t>
            </w:r>
            <w:r>
              <w:rPr>
                <w:kern w:val="0"/>
                <w:sz w:val="18"/>
                <w:szCs w:val="18"/>
                <w:lang/>
              </w:rPr>
              <w:t>导入清洁生产管理，通过清洁生产评价。</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32</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8.1.</w:t>
            </w:r>
            <w:r>
              <w:rPr>
                <w:kern w:val="0"/>
                <w:sz w:val="18"/>
                <w:szCs w:val="18"/>
                <w:lang/>
              </w:rPr>
              <w:t>2</w:t>
            </w:r>
            <w:r>
              <w:rPr>
                <w:kern w:val="0"/>
                <w:sz w:val="18"/>
                <w:szCs w:val="18"/>
                <w:lang/>
              </w:rPr>
              <w:t xml:space="preserve">  </w:t>
            </w:r>
            <w:r>
              <w:rPr>
                <w:kern w:val="0"/>
                <w:sz w:val="18"/>
                <w:szCs w:val="18"/>
                <w:lang/>
              </w:rPr>
              <w:t>改善用能结构，使用清洁能源，减少石化能源的使用，如光伏发电等。</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33</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9  </w:t>
            </w:r>
            <w:r>
              <w:rPr>
                <w:kern w:val="0"/>
                <w:sz w:val="18"/>
                <w:szCs w:val="18"/>
                <w:lang/>
              </w:rPr>
              <w:t>社会责任</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9.1  </w:t>
            </w:r>
            <w:r>
              <w:rPr>
                <w:kern w:val="0"/>
                <w:sz w:val="18"/>
                <w:szCs w:val="18"/>
                <w:lang/>
              </w:rPr>
              <w:t>社会责任</w:t>
            </w: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9.1.1  </w:t>
            </w:r>
            <w:r>
              <w:rPr>
                <w:kern w:val="0"/>
                <w:sz w:val="18"/>
                <w:szCs w:val="18"/>
                <w:lang/>
              </w:rPr>
              <w:t>企业积极参与公益</w:t>
            </w:r>
            <w:r>
              <w:rPr>
                <w:rFonts w:hint="eastAsia"/>
                <w:kern w:val="0"/>
                <w:sz w:val="18"/>
                <w:szCs w:val="18"/>
                <w:lang/>
              </w:rPr>
              <w:t>活动、社区服务</w:t>
            </w:r>
            <w:r>
              <w:rPr>
                <w:kern w:val="0"/>
                <w:sz w:val="18"/>
                <w:szCs w:val="18"/>
                <w:lang/>
              </w:rPr>
              <w:t>，支持</w:t>
            </w:r>
            <w:r>
              <w:rPr>
                <w:rFonts w:hint="eastAsia"/>
                <w:kern w:val="0"/>
                <w:sz w:val="18"/>
                <w:szCs w:val="18"/>
                <w:lang/>
              </w:rPr>
              <w:t>公共基础设施建设以及</w:t>
            </w:r>
            <w:r>
              <w:rPr>
                <w:kern w:val="0"/>
                <w:sz w:val="18"/>
                <w:szCs w:val="18"/>
                <w:lang/>
              </w:rPr>
              <w:t>教育、文化、体育等事业的发展。</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34</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308"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9.1.2  </w:t>
            </w:r>
            <w:r>
              <w:rPr>
                <w:kern w:val="0"/>
                <w:sz w:val="18"/>
                <w:szCs w:val="18"/>
                <w:lang/>
              </w:rPr>
              <w:t>发布社会责任报告或</w:t>
            </w:r>
            <w:r>
              <w:rPr>
                <w:kern w:val="0"/>
                <w:sz w:val="18"/>
                <w:szCs w:val="18"/>
                <w:lang/>
              </w:rPr>
              <w:t>ESG</w:t>
            </w:r>
            <w:r>
              <w:rPr>
                <w:kern w:val="0"/>
                <w:sz w:val="18"/>
                <w:szCs w:val="18"/>
                <w:lang/>
              </w:rPr>
              <w:t>报告。</w:t>
            </w:r>
          </w:p>
        </w:tc>
        <w:tc>
          <w:tcPr>
            <w:tcW w:w="1044"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trHeight w:val="468"/>
          <w:jc w:val="center"/>
        </w:trPr>
        <w:tc>
          <w:tcPr>
            <w:tcW w:w="8106" w:type="dxa"/>
            <w:gridSpan w:val="4"/>
            <w:tcBorders>
              <w:top w:val="single" w:sz="4"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合计</w:t>
            </w:r>
          </w:p>
        </w:tc>
        <w:tc>
          <w:tcPr>
            <w:tcW w:w="1044" w:type="dxa"/>
            <w:tcBorders>
              <w:top w:val="single" w:sz="4" w:space="0" w:color="000000"/>
              <w:left w:val="single" w:sz="4" w:space="0" w:color="000000"/>
              <w:bottom w:val="single" w:sz="8" w:space="0" w:color="000000"/>
              <w:right w:val="single" w:sz="8"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800</w:t>
            </w:r>
          </w:p>
        </w:tc>
      </w:tr>
    </w:tbl>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4807BF">
      <w:pPr>
        <w:rPr>
          <w:rFonts w:eastAsia="黑体"/>
        </w:rPr>
      </w:pPr>
      <w:r>
        <w:rPr>
          <w:rFonts w:eastAsia="黑体"/>
        </w:rPr>
        <w:br w:type="page"/>
      </w:r>
    </w:p>
    <w:p w:rsidR="003E2CFB" w:rsidRDefault="004807BF">
      <w:pPr>
        <w:pStyle w:val="afffc"/>
        <w:numPr>
          <w:ilvl w:val="2"/>
          <w:numId w:val="0"/>
        </w:numPr>
        <w:jc w:val="center"/>
        <w:rPr>
          <w:rFonts w:ascii="Times New Roman" w:eastAsia="黑体"/>
        </w:rPr>
      </w:pPr>
      <w:r>
        <w:rPr>
          <w:rFonts w:ascii="Times New Roman" w:eastAsia="黑体"/>
        </w:rPr>
        <w:lastRenderedPageBreak/>
        <w:t>附</w:t>
      </w:r>
      <w:r>
        <w:rPr>
          <w:rFonts w:ascii="Times New Roman" w:eastAsia="黑体"/>
        </w:rPr>
        <w:t xml:space="preserve"> </w:t>
      </w:r>
      <w:r>
        <w:rPr>
          <w:rFonts w:ascii="Times New Roman" w:eastAsia="黑体"/>
        </w:rPr>
        <w:t>录</w:t>
      </w:r>
      <w:r>
        <w:rPr>
          <w:rFonts w:ascii="Times New Roman" w:eastAsia="黑体"/>
        </w:rPr>
        <w:t xml:space="preserve"> B</w:t>
      </w:r>
    </w:p>
    <w:p w:rsidR="003E2CFB" w:rsidRDefault="004807BF">
      <w:pPr>
        <w:pStyle w:val="afffc"/>
        <w:numPr>
          <w:ilvl w:val="2"/>
          <w:numId w:val="0"/>
        </w:numPr>
        <w:jc w:val="center"/>
        <w:rPr>
          <w:rFonts w:ascii="Times New Roman" w:eastAsia="黑体"/>
        </w:rPr>
      </w:pPr>
      <w:r>
        <w:rPr>
          <w:rFonts w:ascii="Times New Roman" w:eastAsia="黑体"/>
        </w:rPr>
        <w:t>(</w:t>
      </w:r>
      <w:r>
        <w:rPr>
          <w:rFonts w:ascii="Times New Roman" w:eastAsia="黑体"/>
        </w:rPr>
        <w:t>规范性</w:t>
      </w:r>
      <w:r>
        <w:rPr>
          <w:rFonts w:ascii="Times New Roman" w:eastAsia="黑体"/>
        </w:rPr>
        <w:t>)</w:t>
      </w:r>
    </w:p>
    <w:p w:rsidR="003E2CFB" w:rsidRDefault="004807BF">
      <w:pPr>
        <w:pStyle w:val="afffc"/>
        <w:numPr>
          <w:ilvl w:val="2"/>
          <w:numId w:val="0"/>
        </w:numPr>
        <w:snapToGrid w:val="0"/>
        <w:spacing w:after="283"/>
        <w:jc w:val="center"/>
        <w:rPr>
          <w:rFonts w:ascii="Times New Roman" w:eastAsia="黑体"/>
        </w:rPr>
      </w:pPr>
      <w:r>
        <w:rPr>
          <w:rFonts w:ascii="Times New Roman" w:eastAsia="黑体"/>
        </w:rPr>
        <w:t>工业品现场评价指标及评价要求</w:t>
      </w:r>
    </w:p>
    <w:p w:rsidR="003E2CFB" w:rsidRDefault="004807BF">
      <w:pPr>
        <w:pStyle w:val="afffc"/>
        <w:numPr>
          <w:ilvl w:val="2"/>
          <w:numId w:val="0"/>
        </w:numPr>
        <w:ind w:firstLineChars="200" w:firstLine="420"/>
        <w:jc w:val="both"/>
        <w:rPr>
          <w:rFonts w:ascii="Times New Roman"/>
        </w:rPr>
      </w:pPr>
      <w:r>
        <w:rPr>
          <w:rFonts w:ascii="Times New Roman"/>
        </w:rPr>
        <w:t>工业品现场评价指标、评价要求及分值见表</w:t>
      </w:r>
      <w:r>
        <w:rPr>
          <w:rFonts w:ascii="Times New Roman"/>
        </w:rPr>
        <w:t>B.1</w:t>
      </w:r>
      <w:r>
        <w:rPr>
          <w:rFonts w:ascii="Times New Roman"/>
        </w:rPr>
        <w:t>。</w:t>
      </w:r>
    </w:p>
    <w:p w:rsidR="003E2CFB" w:rsidRDefault="004807BF" w:rsidP="00847364">
      <w:pPr>
        <w:pStyle w:val="afffc"/>
        <w:numPr>
          <w:ilvl w:val="2"/>
          <w:numId w:val="0"/>
        </w:numPr>
        <w:spacing w:beforeLines="50" w:afterLines="50"/>
        <w:jc w:val="center"/>
        <w:rPr>
          <w:rFonts w:ascii="Times New Roman" w:eastAsia="黑体"/>
        </w:rPr>
      </w:pPr>
      <w:r>
        <w:rPr>
          <w:rFonts w:ascii="Times New Roman" w:eastAsia="黑体"/>
        </w:rPr>
        <w:t>表</w:t>
      </w:r>
      <w:r>
        <w:rPr>
          <w:rFonts w:ascii="Times New Roman" w:eastAsia="黑体"/>
        </w:rPr>
        <w:t xml:space="preserve"> B.1 </w:t>
      </w:r>
      <w:r>
        <w:rPr>
          <w:rFonts w:ascii="Times New Roman" w:eastAsia="黑体"/>
        </w:rPr>
        <w:t>工业品</w:t>
      </w:r>
      <w:r>
        <w:rPr>
          <w:rFonts w:ascii="Times New Roman" w:eastAsia="黑体"/>
        </w:rPr>
        <w:t>现场评价指标及评价要求</w:t>
      </w:r>
    </w:p>
    <w:tbl>
      <w:tblPr>
        <w:tblW w:w="9152" w:type="dxa"/>
        <w:jc w:val="center"/>
        <w:tblLook w:val="04A0"/>
      </w:tblPr>
      <w:tblGrid>
        <w:gridCol w:w="705"/>
        <w:gridCol w:w="1080"/>
        <w:gridCol w:w="6085"/>
        <w:gridCol w:w="1282"/>
      </w:tblGrid>
      <w:tr w:rsidR="003E2CFB">
        <w:trPr>
          <w:trHeight w:val="512"/>
          <w:jc w:val="center"/>
        </w:trPr>
        <w:tc>
          <w:tcPr>
            <w:tcW w:w="705" w:type="dxa"/>
            <w:tcBorders>
              <w:top w:val="single" w:sz="8"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1080" w:type="dxa"/>
            <w:tcBorders>
              <w:top w:val="single" w:sz="8"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指标名称</w:t>
            </w:r>
          </w:p>
        </w:tc>
        <w:tc>
          <w:tcPr>
            <w:tcW w:w="6085" w:type="dxa"/>
            <w:tcBorders>
              <w:top w:val="single" w:sz="8"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282" w:type="dxa"/>
            <w:tcBorders>
              <w:top w:val="single" w:sz="8" w:space="0" w:color="000000"/>
              <w:left w:val="single" w:sz="4" w:space="0" w:color="000000"/>
              <w:bottom w:val="single" w:sz="8"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jc w:val="center"/>
        </w:trPr>
        <w:tc>
          <w:tcPr>
            <w:tcW w:w="705" w:type="dxa"/>
            <w:tcBorders>
              <w:top w:val="single" w:sz="8"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w:t>
            </w:r>
          </w:p>
        </w:tc>
        <w:tc>
          <w:tcPr>
            <w:tcW w:w="1080" w:type="dxa"/>
            <w:vMerge w:val="restart"/>
            <w:tcBorders>
              <w:top w:val="single" w:sz="8" w:space="0" w:color="000000"/>
              <w:left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1  </w:t>
            </w:r>
            <w:r>
              <w:rPr>
                <w:kern w:val="0"/>
                <w:sz w:val="18"/>
                <w:szCs w:val="18"/>
                <w:lang/>
              </w:rPr>
              <w:t>生产现场</w:t>
            </w:r>
          </w:p>
        </w:tc>
        <w:tc>
          <w:tcPr>
            <w:tcW w:w="6085" w:type="dxa"/>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1.1  </w:t>
            </w:r>
            <w:r>
              <w:rPr>
                <w:kern w:val="0"/>
                <w:sz w:val="18"/>
                <w:szCs w:val="18"/>
                <w:lang/>
              </w:rPr>
              <w:t>生产现场保持有效版本的技术文件，包括但不限于：作业指导书、工艺流程图等。</w:t>
            </w:r>
          </w:p>
        </w:tc>
        <w:tc>
          <w:tcPr>
            <w:tcW w:w="1282" w:type="dxa"/>
            <w:tcBorders>
              <w:top w:val="single" w:sz="8"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2</w:t>
            </w:r>
          </w:p>
        </w:tc>
        <w:tc>
          <w:tcPr>
            <w:tcW w:w="1080" w:type="dxa"/>
            <w:vMerge/>
            <w:tcBorders>
              <w:left w:val="single" w:sz="4" w:space="0" w:color="000000"/>
              <w:right w:val="single" w:sz="4" w:space="0" w:color="000000"/>
            </w:tcBorders>
            <w:vAlign w:val="center"/>
          </w:tcPr>
          <w:p w:rsidR="003E2CFB" w:rsidRDefault="003E2CFB">
            <w:pPr>
              <w:snapToGrid w:val="0"/>
              <w:jc w:val="left"/>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1.2  </w:t>
            </w:r>
            <w:r>
              <w:rPr>
                <w:kern w:val="0"/>
                <w:sz w:val="18"/>
                <w:szCs w:val="18"/>
                <w:lang/>
              </w:rPr>
              <w:t>对生产现场的物料、半成品、成品等实施有效防护，包括：标识、堆放、搬运等。</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3</w:t>
            </w:r>
          </w:p>
        </w:tc>
        <w:tc>
          <w:tcPr>
            <w:tcW w:w="1080" w:type="dxa"/>
            <w:vMerge/>
            <w:tcBorders>
              <w:left w:val="single" w:sz="4" w:space="0" w:color="000000"/>
              <w:right w:val="single" w:sz="4" w:space="0" w:color="000000"/>
            </w:tcBorders>
            <w:vAlign w:val="center"/>
          </w:tcPr>
          <w:p w:rsidR="003E2CFB" w:rsidRDefault="003E2CFB">
            <w:pPr>
              <w:snapToGrid w:val="0"/>
              <w:jc w:val="left"/>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1.3  </w:t>
            </w:r>
            <w:r>
              <w:rPr>
                <w:kern w:val="0"/>
                <w:sz w:val="18"/>
                <w:szCs w:val="18"/>
                <w:lang/>
              </w:rPr>
              <w:t>对生产现场的不合格品实施管理，防止误用，包括但不限于标识、隔离、处置等措施，保持处置记录。</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4</w:t>
            </w:r>
          </w:p>
        </w:tc>
        <w:tc>
          <w:tcPr>
            <w:tcW w:w="1080" w:type="dxa"/>
            <w:vMerge/>
            <w:tcBorders>
              <w:left w:val="single" w:sz="4" w:space="0" w:color="000000"/>
              <w:right w:val="single" w:sz="4" w:space="0" w:color="000000"/>
            </w:tcBorders>
            <w:vAlign w:val="center"/>
          </w:tcPr>
          <w:p w:rsidR="003E2CFB" w:rsidRDefault="003E2CFB">
            <w:pPr>
              <w:snapToGrid w:val="0"/>
              <w:jc w:val="left"/>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1.4  </w:t>
            </w:r>
            <w:r>
              <w:rPr>
                <w:kern w:val="0"/>
                <w:sz w:val="18"/>
                <w:szCs w:val="18"/>
                <w:lang/>
              </w:rPr>
              <w:t>对生产现场工作环境实施管理，保留与产品特性有关的环境要求记录。（工作环境有特定要求的，如有微生物限量要求，洁净环境、温湿度要求等，保持定期监测记录）。</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5</w:t>
            </w:r>
          </w:p>
        </w:tc>
        <w:tc>
          <w:tcPr>
            <w:tcW w:w="1080" w:type="dxa"/>
            <w:vMerge/>
            <w:tcBorders>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1.</w:t>
            </w:r>
            <w:r>
              <w:rPr>
                <w:kern w:val="0"/>
                <w:sz w:val="18"/>
                <w:szCs w:val="18"/>
                <w:lang/>
              </w:rPr>
              <w:t>5</w:t>
            </w:r>
            <w:r>
              <w:rPr>
                <w:kern w:val="0"/>
                <w:sz w:val="18"/>
                <w:szCs w:val="18"/>
                <w:lang/>
              </w:rPr>
              <w:t xml:space="preserve">  </w:t>
            </w:r>
            <w:r>
              <w:rPr>
                <w:kern w:val="0"/>
                <w:sz w:val="18"/>
                <w:szCs w:val="18"/>
                <w:lang/>
              </w:rPr>
              <w:t>应建立设施设备档案、清单，保留设施设备保养、维护记录。</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6</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2  </w:t>
            </w:r>
            <w:r>
              <w:rPr>
                <w:kern w:val="0"/>
                <w:sz w:val="18"/>
                <w:szCs w:val="18"/>
                <w:lang/>
              </w:rPr>
              <w:t>仓储现场</w:t>
            </w: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2.1  </w:t>
            </w:r>
            <w:r>
              <w:rPr>
                <w:kern w:val="0"/>
                <w:sz w:val="18"/>
                <w:szCs w:val="18"/>
                <w:lang/>
              </w:rPr>
              <w:t>有明确的仓储环境控制要求，如温度、湿度等，并进行定期检查。</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7</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2.</w:t>
            </w:r>
            <w:r>
              <w:rPr>
                <w:kern w:val="0"/>
                <w:sz w:val="18"/>
                <w:szCs w:val="18"/>
                <w:lang/>
              </w:rPr>
              <w:t>2</w:t>
            </w:r>
            <w:r>
              <w:rPr>
                <w:kern w:val="0"/>
                <w:sz w:val="18"/>
                <w:szCs w:val="18"/>
                <w:lang/>
              </w:rPr>
              <w:t xml:space="preserve">  </w:t>
            </w:r>
            <w:r>
              <w:rPr>
                <w:kern w:val="0"/>
                <w:sz w:val="18"/>
                <w:szCs w:val="18"/>
                <w:lang/>
              </w:rPr>
              <w:t>保持出</w:t>
            </w:r>
            <w:proofErr w:type="gramStart"/>
            <w:r>
              <w:rPr>
                <w:kern w:val="0"/>
                <w:sz w:val="18"/>
                <w:szCs w:val="18"/>
                <w:lang/>
              </w:rPr>
              <w:t>入库台</w:t>
            </w:r>
            <w:proofErr w:type="gramEnd"/>
            <w:r>
              <w:rPr>
                <w:kern w:val="0"/>
                <w:sz w:val="18"/>
                <w:szCs w:val="18"/>
                <w:lang/>
              </w:rPr>
              <w:t>账，实施先进先出管理。</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8</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2.</w:t>
            </w:r>
            <w:r>
              <w:rPr>
                <w:kern w:val="0"/>
                <w:sz w:val="18"/>
                <w:szCs w:val="18"/>
                <w:lang/>
              </w:rPr>
              <w:t>3</w:t>
            </w:r>
            <w:r>
              <w:rPr>
                <w:kern w:val="0"/>
                <w:sz w:val="18"/>
                <w:szCs w:val="18"/>
                <w:lang/>
              </w:rPr>
              <w:t xml:space="preserve">  </w:t>
            </w:r>
            <w:r>
              <w:rPr>
                <w:kern w:val="0"/>
                <w:sz w:val="18"/>
                <w:szCs w:val="18"/>
                <w:lang/>
              </w:rPr>
              <w:t>仓存品有适当的标识，如追溯性标识等。</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9</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2.</w:t>
            </w:r>
            <w:r>
              <w:rPr>
                <w:kern w:val="0"/>
                <w:sz w:val="18"/>
                <w:szCs w:val="18"/>
                <w:lang/>
              </w:rPr>
              <w:t>4</w:t>
            </w:r>
            <w:r>
              <w:rPr>
                <w:kern w:val="0"/>
                <w:sz w:val="18"/>
                <w:szCs w:val="18"/>
                <w:lang/>
              </w:rPr>
              <w:t xml:space="preserve">  </w:t>
            </w:r>
            <w:r>
              <w:rPr>
                <w:kern w:val="0"/>
                <w:sz w:val="18"/>
                <w:szCs w:val="18"/>
                <w:lang/>
              </w:rPr>
              <w:t>对仓存品实施有效防护，包括防潮霉、防虫鼠、离地离墙堆放、限制堆高等。</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15</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3  </w:t>
            </w:r>
            <w:r>
              <w:rPr>
                <w:kern w:val="0"/>
                <w:sz w:val="18"/>
                <w:szCs w:val="18"/>
                <w:lang/>
              </w:rPr>
              <w:t>检验现场</w:t>
            </w: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3.1  </w:t>
            </w:r>
            <w:r>
              <w:rPr>
                <w:kern w:val="0"/>
                <w:sz w:val="18"/>
                <w:szCs w:val="18"/>
                <w:lang/>
              </w:rPr>
              <w:t>应对用于产品检验的监视和测量设备实施校准管理，包括建立校准清单，制定校准实施计划，保留校准证据。</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20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11</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3.2  </w:t>
            </w:r>
            <w:r>
              <w:rPr>
                <w:kern w:val="0"/>
                <w:sz w:val="18"/>
                <w:szCs w:val="18"/>
                <w:lang/>
              </w:rPr>
              <w:t>对检验用标准样品实施管理，有明确的标识。</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12</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3.3  </w:t>
            </w:r>
            <w:r>
              <w:rPr>
                <w:kern w:val="0"/>
                <w:sz w:val="18"/>
                <w:szCs w:val="18"/>
                <w:lang/>
              </w:rPr>
              <w:t>保留采购（含外发）的原材料、半成品、辅料、化学品等检验或验证记录，记录应明确检验和验证依据、抽样准则、结果判定等信息。</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13</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4</w:t>
            </w:r>
            <w:r>
              <w:rPr>
                <w:kern w:val="0"/>
                <w:sz w:val="18"/>
                <w:szCs w:val="18"/>
                <w:lang/>
              </w:rPr>
              <w:t xml:space="preserve">  </w:t>
            </w:r>
            <w:r>
              <w:rPr>
                <w:kern w:val="0"/>
                <w:sz w:val="18"/>
                <w:szCs w:val="18"/>
                <w:lang/>
              </w:rPr>
              <w:t>保留成品检验记录，记录应明确检验和验证依据、抽样准则、结果判定等信息。</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14</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center"/>
              <w:rPr>
                <w:sz w:val="18"/>
                <w:szCs w:val="18"/>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5</w:t>
            </w:r>
            <w:r>
              <w:rPr>
                <w:kern w:val="0"/>
                <w:sz w:val="18"/>
                <w:szCs w:val="18"/>
                <w:lang/>
              </w:rPr>
              <w:t xml:space="preserve">  </w:t>
            </w:r>
            <w:r>
              <w:rPr>
                <w:kern w:val="0"/>
                <w:sz w:val="18"/>
                <w:szCs w:val="18"/>
                <w:lang/>
              </w:rPr>
              <w:t>保留进料、过程、成品检验实施中发生的不合格品记录，记录应包括不合格品的描述、原因分析、改进措施等信息。</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r>
      <w:tr w:rsidR="003E2CFB">
        <w:trPr>
          <w:trHeight w:val="512"/>
          <w:jc w:val="center"/>
        </w:trPr>
        <w:tc>
          <w:tcPr>
            <w:tcW w:w="7870" w:type="dxa"/>
            <w:gridSpan w:val="3"/>
            <w:tcBorders>
              <w:top w:val="single" w:sz="4"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合计</w:t>
            </w:r>
          </w:p>
        </w:tc>
        <w:tc>
          <w:tcPr>
            <w:tcW w:w="1282" w:type="dxa"/>
            <w:tcBorders>
              <w:top w:val="single" w:sz="4" w:space="0" w:color="000000"/>
              <w:left w:val="single" w:sz="4" w:space="0" w:color="000000"/>
              <w:bottom w:val="single" w:sz="8" w:space="0" w:color="000000"/>
              <w:right w:val="single" w:sz="8"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200</w:t>
            </w:r>
          </w:p>
        </w:tc>
      </w:tr>
    </w:tbl>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4807BF">
      <w:pPr>
        <w:rPr>
          <w:rFonts w:eastAsia="黑体"/>
        </w:rPr>
      </w:pPr>
      <w:r>
        <w:rPr>
          <w:rFonts w:eastAsia="黑体"/>
        </w:rPr>
        <w:br w:type="page"/>
      </w:r>
    </w:p>
    <w:p w:rsidR="003E2CFB" w:rsidRDefault="004807BF">
      <w:pPr>
        <w:pStyle w:val="afffc"/>
        <w:numPr>
          <w:ilvl w:val="2"/>
          <w:numId w:val="0"/>
        </w:numPr>
        <w:jc w:val="center"/>
        <w:rPr>
          <w:rFonts w:ascii="Times New Roman" w:eastAsia="黑体"/>
        </w:rPr>
      </w:pPr>
      <w:r>
        <w:rPr>
          <w:rFonts w:ascii="Times New Roman" w:eastAsia="黑体"/>
        </w:rPr>
        <w:lastRenderedPageBreak/>
        <w:t>附</w:t>
      </w:r>
      <w:r>
        <w:rPr>
          <w:rFonts w:ascii="Times New Roman" w:eastAsia="黑体"/>
        </w:rPr>
        <w:t xml:space="preserve"> </w:t>
      </w:r>
      <w:r>
        <w:rPr>
          <w:rFonts w:ascii="Times New Roman" w:eastAsia="黑体"/>
        </w:rPr>
        <w:t>录</w:t>
      </w:r>
      <w:r>
        <w:rPr>
          <w:rFonts w:ascii="Times New Roman" w:eastAsia="黑体"/>
        </w:rPr>
        <w:t>C</w:t>
      </w:r>
    </w:p>
    <w:p w:rsidR="003E2CFB" w:rsidRDefault="004807BF">
      <w:pPr>
        <w:pStyle w:val="afffc"/>
        <w:numPr>
          <w:ilvl w:val="2"/>
          <w:numId w:val="0"/>
        </w:numPr>
        <w:jc w:val="center"/>
        <w:rPr>
          <w:rFonts w:ascii="Times New Roman" w:eastAsia="黑体"/>
        </w:rPr>
      </w:pPr>
      <w:r>
        <w:rPr>
          <w:rFonts w:ascii="Times New Roman" w:eastAsia="黑体"/>
        </w:rPr>
        <w:t>(</w:t>
      </w:r>
      <w:r>
        <w:rPr>
          <w:rFonts w:ascii="Times New Roman" w:eastAsia="黑体"/>
        </w:rPr>
        <w:t>规范性</w:t>
      </w:r>
      <w:r>
        <w:rPr>
          <w:rFonts w:ascii="Times New Roman" w:eastAsia="黑体"/>
        </w:rPr>
        <w:t>)</w:t>
      </w:r>
    </w:p>
    <w:p w:rsidR="003E2CFB" w:rsidRDefault="004807BF">
      <w:pPr>
        <w:pStyle w:val="afffc"/>
        <w:numPr>
          <w:ilvl w:val="2"/>
          <w:numId w:val="0"/>
        </w:numPr>
        <w:snapToGrid w:val="0"/>
        <w:spacing w:after="283"/>
        <w:jc w:val="center"/>
        <w:rPr>
          <w:rFonts w:ascii="Times New Roman" w:eastAsia="黑体"/>
        </w:rPr>
      </w:pPr>
      <w:r>
        <w:rPr>
          <w:rFonts w:ascii="Times New Roman" w:eastAsia="黑体"/>
        </w:rPr>
        <w:t>农产品</w:t>
      </w:r>
      <w:r>
        <w:rPr>
          <w:rFonts w:ascii="Times New Roman" w:eastAsia="黑体"/>
        </w:rPr>
        <w:t>资料评价指标及评价要求</w:t>
      </w:r>
    </w:p>
    <w:p w:rsidR="003E2CFB" w:rsidRDefault="004807BF">
      <w:pPr>
        <w:pStyle w:val="afffc"/>
        <w:numPr>
          <w:ilvl w:val="2"/>
          <w:numId w:val="0"/>
        </w:numPr>
        <w:ind w:firstLine="420"/>
        <w:jc w:val="both"/>
        <w:rPr>
          <w:rFonts w:ascii="Times New Roman"/>
        </w:rPr>
      </w:pPr>
      <w:r>
        <w:rPr>
          <w:rFonts w:ascii="Times New Roman"/>
        </w:rPr>
        <w:t>农产品</w:t>
      </w:r>
      <w:r>
        <w:rPr>
          <w:rFonts w:ascii="Times New Roman"/>
        </w:rPr>
        <w:t>资料评价指标、评价要求及分值见表</w:t>
      </w:r>
      <w:r>
        <w:rPr>
          <w:rFonts w:ascii="Times New Roman"/>
        </w:rPr>
        <w:t>C</w:t>
      </w:r>
      <w:r>
        <w:rPr>
          <w:rFonts w:ascii="Times New Roman"/>
        </w:rPr>
        <w:t>.1</w:t>
      </w:r>
      <w:r>
        <w:rPr>
          <w:rFonts w:ascii="Times New Roman"/>
        </w:rPr>
        <w:t>。</w:t>
      </w:r>
    </w:p>
    <w:p w:rsidR="003E2CFB" w:rsidRDefault="004807BF" w:rsidP="00847364">
      <w:pPr>
        <w:pStyle w:val="afffc"/>
        <w:numPr>
          <w:ilvl w:val="2"/>
          <w:numId w:val="0"/>
        </w:numPr>
        <w:spacing w:beforeLines="50" w:afterLines="50"/>
        <w:jc w:val="center"/>
        <w:rPr>
          <w:rFonts w:ascii="Times New Roman" w:eastAsia="黑体"/>
        </w:rPr>
      </w:pPr>
      <w:r>
        <w:rPr>
          <w:rFonts w:ascii="Times New Roman" w:eastAsia="黑体"/>
        </w:rPr>
        <w:t>表</w:t>
      </w:r>
      <w:r>
        <w:rPr>
          <w:rFonts w:ascii="Times New Roman" w:eastAsia="黑体"/>
        </w:rPr>
        <w:t xml:space="preserve"> </w:t>
      </w:r>
      <w:r>
        <w:rPr>
          <w:rFonts w:ascii="Times New Roman" w:eastAsia="黑体"/>
        </w:rPr>
        <w:t>C</w:t>
      </w:r>
      <w:r>
        <w:rPr>
          <w:rFonts w:ascii="Times New Roman" w:eastAsia="黑体"/>
        </w:rPr>
        <w:t xml:space="preserve">.1  </w:t>
      </w:r>
      <w:r>
        <w:rPr>
          <w:rFonts w:ascii="Times New Roman" w:eastAsia="黑体"/>
        </w:rPr>
        <w:t>农产品</w:t>
      </w:r>
      <w:r>
        <w:rPr>
          <w:rFonts w:ascii="Times New Roman" w:eastAsia="黑体"/>
        </w:rPr>
        <w:t>资料评价指标及评价要求</w:t>
      </w:r>
    </w:p>
    <w:tbl>
      <w:tblPr>
        <w:tblW w:w="9150" w:type="dxa"/>
        <w:jc w:val="center"/>
        <w:tblLayout w:type="fixed"/>
        <w:tblLook w:val="04A0"/>
      </w:tblPr>
      <w:tblGrid>
        <w:gridCol w:w="659"/>
        <w:gridCol w:w="1080"/>
        <w:gridCol w:w="1516"/>
        <w:gridCol w:w="4619"/>
        <w:gridCol w:w="1276"/>
      </w:tblGrid>
      <w:tr w:rsidR="003E2CFB">
        <w:trPr>
          <w:jc w:val="center"/>
        </w:trPr>
        <w:tc>
          <w:tcPr>
            <w:tcW w:w="659" w:type="dxa"/>
            <w:vMerge w:val="restart"/>
            <w:tcBorders>
              <w:top w:val="single" w:sz="8" w:space="0" w:color="auto"/>
              <w:left w:val="single" w:sz="8" w:space="0" w:color="auto"/>
              <w:bottom w:val="nil"/>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2596" w:type="dxa"/>
            <w:gridSpan w:val="2"/>
            <w:tcBorders>
              <w:top w:val="single" w:sz="8" w:space="0" w:color="auto"/>
              <w:left w:val="single" w:sz="4"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指标名称</w:t>
            </w:r>
          </w:p>
        </w:tc>
        <w:tc>
          <w:tcPr>
            <w:tcW w:w="4619" w:type="dxa"/>
            <w:vMerge w:val="restart"/>
            <w:tcBorders>
              <w:top w:val="single" w:sz="8" w:space="0" w:color="auto"/>
              <w:left w:val="single" w:sz="4" w:space="0" w:color="auto"/>
              <w:bottom w:val="single" w:sz="8"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276" w:type="dxa"/>
            <w:vMerge w:val="restart"/>
            <w:tcBorders>
              <w:top w:val="single" w:sz="8" w:space="0" w:color="auto"/>
              <w:left w:val="single" w:sz="4" w:space="0" w:color="auto"/>
              <w:bottom w:val="single" w:sz="8"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jc w:val="center"/>
        </w:trPr>
        <w:tc>
          <w:tcPr>
            <w:tcW w:w="659" w:type="dxa"/>
            <w:vMerge/>
            <w:tcBorders>
              <w:top w:val="nil"/>
              <w:left w:val="single" w:sz="8" w:space="0" w:color="auto"/>
              <w:bottom w:val="single" w:sz="8" w:space="0" w:color="auto"/>
              <w:right w:val="single" w:sz="4" w:space="0" w:color="auto"/>
            </w:tcBorders>
            <w:vAlign w:val="center"/>
          </w:tcPr>
          <w:p w:rsidR="003E2CFB" w:rsidRDefault="003E2CFB">
            <w:pPr>
              <w:snapToGrid w:val="0"/>
              <w:jc w:val="center"/>
              <w:rPr>
                <w:sz w:val="18"/>
                <w:szCs w:val="18"/>
              </w:rPr>
            </w:pPr>
          </w:p>
        </w:tc>
        <w:tc>
          <w:tcPr>
            <w:tcW w:w="1080" w:type="dxa"/>
            <w:tcBorders>
              <w:top w:val="single" w:sz="4" w:space="0" w:color="auto"/>
              <w:left w:val="single" w:sz="4" w:space="0" w:color="auto"/>
              <w:bottom w:val="single" w:sz="8"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一级指标</w:t>
            </w:r>
          </w:p>
        </w:tc>
        <w:tc>
          <w:tcPr>
            <w:tcW w:w="1516" w:type="dxa"/>
            <w:tcBorders>
              <w:top w:val="single" w:sz="4" w:space="0" w:color="auto"/>
              <w:left w:val="single" w:sz="4" w:space="0" w:color="auto"/>
              <w:bottom w:val="single" w:sz="8"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二级指标</w:t>
            </w:r>
          </w:p>
        </w:tc>
        <w:tc>
          <w:tcPr>
            <w:tcW w:w="4619" w:type="dxa"/>
            <w:vMerge/>
            <w:tcBorders>
              <w:top w:val="single" w:sz="8" w:space="0" w:color="auto"/>
              <w:left w:val="single" w:sz="4" w:space="0" w:color="auto"/>
              <w:bottom w:val="single" w:sz="4" w:space="0" w:color="auto"/>
              <w:right w:val="single" w:sz="4" w:space="0" w:color="auto"/>
            </w:tcBorders>
            <w:vAlign w:val="center"/>
          </w:tcPr>
          <w:p w:rsidR="003E2CFB" w:rsidRDefault="003E2CFB">
            <w:pPr>
              <w:snapToGrid w:val="0"/>
              <w:jc w:val="center"/>
              <w:rPr>
                <w:sz w:val="18"/>
                <w:szCs w:val="18"/>
              </w:rPr>
            </w:pPr>
          </w:p>
        </w:tc>
        <w:tc>
          <w:tcPr>
            <w:tcW w:w="1276" w:type="dxa"/>
            <w:vMerge/>
            <w:tcBorders>
              <w:top w:val="single" w:sz="8" w:space="0" w:color="auto"/>
              <w:left w:val="single" w:sz="4" w:space="0" w:color="auto"/>
              <w:bottom w:val="single" w:sz="4" w:space="0" w:color="auto"/>
              <w:right w:val="single" w:sz="8" w:space="0" w:color="auto"/>
            </w:tcBorders>
            <w:vAlign w:val="center"/>
          </w:tcPr>
          <w:p w:rsidR="003E2CFB" w:rsidRDefault="003E2CFB">
            <w:pPr>
              <w:snapToGrid w:val="0"/>
              <w:jc w:val="center"/>
              <w:rPr>
                <w:sz w:val="18"/>
                <w:szCs w:val="18"/>
              </w:rPr>
            </w:pP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  </w:t>
            </w:r>
            <w:r>
              <w:rPr>
                <w:kern w:val="0"/>
                <w:sz w:val="18"/>
                <w:szCs w:val="18"/>
                <w:lang/>
              </w:rPr>
              <w:t>组织管理</w:t>
            </w:r>
          </w:p>
        </w:tc>
        <w:tc>
          <w:tcPr>
            <w:tcW w:w="1516"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1.1  </w:t>
            </w:r>
            <w:r>
              <w:rPr>
                <w:kern w:val="0"/>
                <w:sz w:val="18"/>
                <w:szCs w:val="18"/>
                <w:lang/>
              </w:rPr>
              <w:t>管理体系</w:t>
            </w:r>
          </w:p>
        </w:tc>
        <w:tc>
          <w:tcPr>
            <w:tcW w:w="4619" w:type="dxa"/>
            <w:tcBorders>
              <w:top w:val="single" w:sz="8"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sz w:val="18"/>
                <w:szCs w:val="18"/>
              </w:rPr>
              <w:t xml:space="preserve">1.1.1  </w:t>
            </w:r>
            <w:r>
              <w:rPr>
                <w:sz w:val="18"/>
                <w:szCs w:val="18"/>
              </w:rPr>
              <w:t>建立完善的企业管理体系，并保持运行和持续改进，通过相关产品或管理体系认证，如有机产品、</w:t>
            </w:r>
            <w:r>
              <w:rPr>
                <w:sz w:val="18"/>
                <w:szCs w:val="18"/>
              </w:rPr>
              <w:t>GAP</w:t>
            </w:r>
            <w:r>
              <w:rPr>
                <w:sz w:val="18"/>
                <w:szCs w:val="18"/>
              </w:rPr>
              <w:t>、地理标志产品、质量管理体系、食品安全管理体系等认证。</w:t>
            </w:r>
          </w:p>
        </w:tc>
        <w:tc>
          <w:tcPr>
            <w:tcW w:w="1276" w:type="dxa"/>
            <w:tcBorders>
              <w:top w:val="single" w:sz="8"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80</w:t>
            </w:r>
          </w:p>
        </w:tc>
      </w:tr>
      <w:tr w:rsidR="003E2CFB">
        <w:trPr>
          <w:trHeight w:val="90"/>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2</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1.2  </w:t>
            </w:r>
            <w:r>
              <w:rPr>
                <w:rFonts w:hint="eastAsia"/>
                <w:kern w:val="0"/>
                <w:sz w:val="18"/>
                <w:szCs w:val="18"/>
                <w:lang/>
              </w:rPr>
              <w:t>组织架构</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1.2.1  </w:t>
            </w:r>
            <w:r>
              <w:rPr>
                <w:kern w:val="0"/>
                <w:sz w:val="18"/>
                <w:szCs w:val="18"/>
                <w:lang/>
              </w:rPr>
              <w:t>根据企业管理要求建立合适的组织架构</w:t>
            </w:r>
            <w:r>
              <w:rPr>
                <w:kern w:val="0"/>
                <w:sz w:val="18"/>
                <w:szCs w:val="18"/>
                <w:lang/>
              </w:rPr>
              <w:t>，具</w:t>
            </w:r>
            <w:r>
              <w:rPr>
                <w:kern w:val="0"/>
                <w:sz w:val="18"/>
                <w:szCs w:val="18"/>
                <w:lang/>
              </w:rPr>
              <w:t>有完善的组织</w:t>
            </w:r>
            <w:r>
              <w:rPr>
                <w:kern w:val="0"/>
                <w:sz w:val="18"/>
                <w:szCs w:val="18"/>
                <w:lang/>
              </w:rPr>
              <w:t>架构</w:t>
            </w:r>
            <w:r>
              <w:rPr>
                <w:kern w:val="0"/>
                <w:sz w:val="18"/>
                <w:szCs w:val="18"/>
                <w:lang/>
              </w:rPr>
              <w:t>图，明确管理层次，设置相应的部门和岗位。</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50</w:t>
            </w:r>
          </w:p>
        </w:tc>
      </w:tr>
      <w:tr w:rsidR="003E2CFB">
        <w:trPr>
          <w:trHeight w:val="90"/>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3</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tcBorders>
              <w:top w:val="single" w:sz="4" w:space="0" w:color="auto"/>
              <w:left w:val="single" w:sz="4" w:space="0" w:color="auto"/>
              <w:bottom w:val="single" w:sz="4" w:space="0" w:color="auto"/>
              <w:right w:val="single" w:sz="4" w:space="0" w:color="auto"/>
            </w:tcBorders>
            <w:vAlign w:val="center"/>
          </w:tcPr>
          <w:p w:rsidR="003E2CFB" w:rsidRDefault="004807BF">
            <w:pPr>
              <w:snapToGrid w:val="0"/>
              <w:jc w:val="left"/>
              <w:rPr>
                <w:sz w:val="18"/>
                <w:szCs w:val="18"/>
              </w:rPr>
            </w:pPr>
            <w:r>
              <w:rPr>
                <w:rFonts w:hint="eastAsia"/>
                <w:sz w:val="18"/>
                <w:szCs w:val="18"/>
              </w:rPr>
              <w:t xml:space="preserve">1.3  </w:t>
            </w:r>
            <w:r>
              <w:rPr>
                <w:rFonts w:hint="eastAsia"/>
                <w:sz w:val="18"/>
                <w:szCs w:val="18"/>
              </w:rPr>
              <w:t>质量战略</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1.</w:t>
            </w:r>
            <w:r>
              <w:rPr>
                <w:rFonts w:hint="eastAsia"/>
                <w:kern w:val="0"/>
                <w:sz w:val="18"/>
                <w:szCs w:val="18"/>
                <w:lang/>
              </w:rPr>
              <w:t>3</w:t>
            </w:r>
            <w:r>
              <w:rPr>
                <w:kern w:val="0"/>
                <w:sz w:val="18"/>
                <w:szCs w:val="18"/>
                <w:lang/>
              </w:rPr>
              <w:t>.</w:t>
            </w:r>
            <w:r>
              <w:rPr>
                <w:rFonts w:hint="eastAsia"/>
                <w:kern w:val="0"/>
                <w:sz w:val="18"/>
                <w:szCs w:val="18"/>
                <w:lang/>
              </w:rPr>
              <w:t>1</w:t>
            </w:r>
            <w:r>
              <w:rPr>
                <w:kern w:val="0"/>
                <w:sz w:val="18"/>
                <w:szCs w:val="18"/>
                <w:lang/>
              </w:rPr>
              <w:t xml:space="preserve">  </w:t>
            </w:r>
            <w:r>
              <w:rPr>
                <w:kern w:val="0"/>
                <w:sz w:val="18"/>
                <w:szCs w:val="18"/>
                <w:lang/>
              </w:rPr>
              <w:t>将质量战略纳入组织总体战略策划</w:t>
            </w:r>
            <w:r>
              <w:rPr>
                <w:rFonts w:hint="eastAsia"/>
                <w:kern w:val="0"/>
                <w:sz w:val="18"/>
                <w:szCs w:val="18"/>
                <w:lang/>
              </w:rPr>
              <w:t>，</w:t>
            </w:r>
            <w:r>
              <w:rPr>
                <w:kern w:val="0"/>
                <w:sz w:val="18"/>
                <w:szCs w:val="18"/>
                <w:lang/>
              </w:rPr>
              <w:t>制定质量方针和质量目标，并将其传达给所有员工，质量目标应可量化和适宜的。</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kern w:val="0"/>
                <w:sz w:val="18"/>
                <w:szCs w:val="18"/>
                <w:lang/>
              </w:rPr>
              <w:t>30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4</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  </w:t>
            </w:r>
            <w:r>
              <w:rPr>
                <w:kern w:val="0"/>
                <w:sz w:val="18"/>
                <w:szCs w:val="18"/>
                <w:lang/>
              </w:rPr>
              <w:t>资源管理</w:t>
            </w:r>
          </w:p>
        </w:tc>
        <w:tc>
          <w:tcPr>
            <w:tcW w:w="1516"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2.1  </w:t>
            </w:r>
            <w:r>
              <w:rPr>
                <w:kern w:val="0"/>
                <w:sz w:val="18"/>
                <w:szCs w:val="18"/>
                <w:lang/>
              </w:rPr>
              <w:t>人力资源管理</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2.1.1  </w:t>
            </w:r>
            <w:r>
              <w:rPr>
                <w:kern w:val="0"/>
                <w:sz w:val="18"/>
                <w:szCs w:val="18"/>
                <w:lang/>
              </w:rPr>
              <w:t>制定和实施满足岗位要求的能力培训计划，并保留培训记录。</w:t>
            </w:r>
            <w:r>
              <w:rPr>
                <w:kern w:val="0"/>
                <w:sz w:val="18"/>
                <w:szCs w:val="18"/>
                <w:lang/>
              </w:rPr>
              <w:t>农产品生长过程的主要管理人员应具备相关的专业知识，提供专业证书或者工作经历的证明资料。</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50</w:t>
            </w:r>
          </w:p>
        </w:tc>
      </w:tr>
      <w:tr w:rsidR="003E2CFB">
        <w:trPr>
          <w:trHeight w:val="90"/>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5</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vMerge w:val="restart"/>
            <w:tcBorders>
              <w:top w:val="single" w:sz="4" w:space="0" w:color="auto"/>
              <w:left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2.2  </w:t>
            </w:r>
            <w:r>
              <w:rPr>
                <w:kern w:val="0"/>
                <w:sz w:val="18"/>
                <w:szCs w:val="18"/>
                <w:lang/>
              </w:rPr>
              <w:t>场所管理</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2.2.1  </w:t>
            </w:r>
            <w:r>
              <w:rPr>
                <w:kern w:val="0"/>
                <w:sz w:val="18"/>
                <w:szCs w:val="18"/>
                <w:lang/>
              </w:rPr>
              <w:t>场地内与农产品生长食品安全有关的生产用水、土壤、基质、环境等需符合相应的国家标准要求。</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kern w:val="0"/>
                <w:sz w:val="18"/>
                <w:szCs w:val="18"/>
                <w:lang/>
              </w:rPr>
            </w:pPr>
            <w:r>
              <w:rPr>
                <w:sz w:val="18"/>
                <w:szCs w:val="18"/>
              </w:rPr>
              <w:t>50</w:t>
            </w:r>
          </w:p>
        </w:tc>
      </w:tr>
      <w:tr w:rsidR="003E2CFB">
        <w:trPr>
          <w:trHeight w:val="90"/>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6</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vMerge/>
            <w:tcBorders>
              <w:left w:val="single" w:sz="4" w:space="0" w:color="auto"/>
              <w:right w:val="single" w:sz="4" w:space="0" w:color="auto"/>
            </w:tcBorders>
            <w:vAlign w:val="center"/>
          </w:tcPr>
          <w:p w:rsidR="003E2CFB" w:rsidRDefault="003E2CFB">
            <w:pPr>
              <w:widowControl/>
              <w:snapToGrid w:val="0"/>
              <w:jc w:val="left"/>
              <w:textAlignment w:val="center"/>
              <w:rPr>
                <w:kern w:val="0"/>
                <w:sz w:val="18"/>
                <w:szCs w:val="18"/>
                <w:lang/>
              </w:rPr>
            </w:pP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2.2.2  </w:t>
            </w:r>
            <w:r w:rsidR="00847364">
              <w:rPr>
                <w:kern w:val="0"/>
                <w:sz w:val="18"/>
                <w:szCs w:val="18"/>
                <w:lang/>
              </w:rPr>
              <w:t>建立对场所的</w:t>
            </w:r>
            <w:r>
              <w:rPr>
                <w:kern w:val="0"/>
                <w:sz w:val="18"/>
                <w:szCs w:val="18"/>
                <w:lang/>
              </w:rPr>
              <w:t>管理计划，包括但不限于场所卫生消毒清洁制度，相关卫生消毒需符合国家相应规定。</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50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sz w:val="18"/>
                <w:szCs w:val="18"/>
              </w:rPr>
              <w:t>7</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2.</w:t>
            </w:r>
            <w:r>
              <w:rPr>
                <w:kern w:val="0"/>
                <w:sz w:val="18"/>
                <w:szCs w:val="18"/>
                <w:lang/>
              </w:rPr>
              <w:t xml:space="preserve">3 </w:t>
            </w:r>
            <w:r>
              <w:rPr>
                <w:kern w:val="0"/>
                <w:sz w:val="18"/>
                <w:szCs w:val="18"/>
                <w:lang/>
              </w:rPr>
              <w:t xml:space="preserve"> </w:t>
            </w:r>
            <w:r>
              <w:rPr>
                <w:kern w:val="0"/>
                <w:sz w:val="18"/>
                <w:szCs w:val="18"/>
                <w:lang/>
              </w:rPr>
              <w:t>设施、设备管理</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pacing w:line="240" w:lineRule="atLeast"/>
              <w:jc w:val="left"/>
              <w:rPr>
                <w:sz w:val="18"/>
                <w:szCs w:val="18"/>
              </w:rPr>
            </w:pPr>
            <w:r>
              <w:rPr>
                <w:sz w:val="18"/>
                <w:szCs w:val="18"/>
              </w:rPr>
              <w:t xml:space="preserve">2.3.1  </w:t>
            </w:r>
            <w:r>
              <w:rPr>
                <w:sz w:val="18"/>
                <w:szCs w:val="18"/>
              </w:rPr>
              <w:t>应配备有农产品生产、加工必须的设备设施并制定管理制度。</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50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sz w:val="18"/>
                <w:szCs w:val="18"/>
              </w:rPr>
              <w:t>8</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2.</w:t>
            </w:r>
            <w:r>
              <w:rPr>
                <w:kern w:val="0"/>
                <w:sz w:val="18"/>
                <w:szCs w:val="18"/>
                <w:lang/>
              </w:rPr>
              <w:t>3</w:t>
            </w:r>
            <w:r>
              <w:rPr>
                <w:kern w:val="0"/>
                <w:sz w:val="18"/>
                <w:szCs w:val="18"/>
                <w:lang/>
              </w:rPr>
              <w:t>.</w:t>
            </w:r>
            <w:r>
              <w:rPr>
                <w:kern w:val="0"/>
                <w:sz w:val="18"/>
                <w:szCs w:val="18"/>
                <w:lang/>
              </w:rPr>
              <w:t>2</w:t>
            </w:r>
            <w:r>
              <w:rPr>
                <w:kern w:val="0"/>
                <w:sz w:val="18"/>
                <w:szCs w:val="18"/>
                <w:lang/>
              </w:rPr>
              <w:t xml:space="preserve">  </w:t>
            </w:r>
            <w:r>
              <w:rPr>
                <w:kern w:val="0"/>
                <w:sz w:val="18"/>
                <w:szCs w:val="18"/>
                <w:lang/>
              </w:rPr>
              <w:t>场地应设有农产品质量检测室并配备必要的农产品质量检测人员及检测设施，制定检测计划及记录。</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60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sz w:val="18"/>
                <w:szCs w:val="18"/>
              </w:rPr>
            </w:pPr>
            <w:r>
              <w:rPr>
                <w:sz w:val="18"/>
                <w:szCs w:val="18"/>
              </w:rPr>
              <w:t>9</w:t>
            </w:r>
          </w:p>
        </w:tc>
        <w:tc>
          <w:tcPr>
            <w:tcW w:w="1080" w:type="dxa"/>
            <w:vMerge w:val="restart"/>
            <w:tcBorders>
              <w:top w:val="single" w:sz="4" w:space="0" w:color="auto"/>
              <w:left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 xml:space="preserve">3  </w:t>
            </w:r>
            <w:r>
              <w:rPr>
                <w:kern w:val="0"/>
                <w:sz w:val="18"/>
                <w:szCs w:val="18"/>
                <w:lang/>
              </w:rPr>
              <w:t>过程管理</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sz w:val="18"/>
                <w:szCs w:val="18"/>
              </w:rPr>
              <w:t xml:space="preserve">3.1  </w:t>
            </w:r>
            <w:r>
              <w:rPr>
                <w:sz w:val="18"/>
                <w:szCs w:val="18"/>
              </w:rPr>
              <w:t>农产品生长</w:t>
            </w:r>
            <w:r>
              <w:rPr>
                <w:sz w:val="18"/>
                <w:szCs w:val="18"/>
              </w:rPr>
              <w:t>/</w:t>
            </w:r>
            <w:r>
              <w:rPr>
                <w:sz w:val="18"/>
                <w:szCs w:val="18"/>
              </w:rPr>
              <w:t>收获</w:t>
            </w:r>
            <w:r>
              <w:rPr>
                <w:sz w:val="18"/>
                <w:szCs w:val="18"/>
              </w:rPr>
              <w:t>/</w:t>
            </w:r>
            <w:r>
              <w:rPr>
                <w:sz w:val="18"/>
                <w:szCs w:val="18"/>
              </w:rPr>
              <w:t>加工过程管理</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sz w:val="18"/>
                <w:szCs w:val="18"/>
              </w:rPr>
              <w:t xml:space="preserve">3.1.1  </w:t>
            </w:r>
            <w:r>
              <w:rPr>
                <w:sz w:val="18"/>
                <w:szCs w:val="18"/>
              </w:rPr>
              <w:t>建立有文件化管理制度，对农产品的选种繁殖、生产过程建立有技术规程管理文件，包括但不限于农产品生长过程的</w:t>
            </w:r>
            <w:r>
              <w:rPr>
                <w:kern w:val="0"/>
                <w:sz w:val="18"/>
                <w:szCs w:val="18"/>
                <w:lang/>
              </w:rPr>
              <w:t>兽药、化学品、消毒剂、植保产品、</w:t>
            </w:r>
            <w:r>
              <w:rPr>
                <w:kern w:val="0"/>
                <w:sz w:val="18"/>
                <w:szCs w:val="18"/>
                <w:lang/>
              </w:rPr>
              <w:t>饲料、</w:t>
            </w:r>
            <w:r>
              <w:rPr>
                <w:kern w:val="0"/>
                <w:sz w:val="18"/>
                <w:szCs w:val="18"/>
                <w:lang/>
              </w:rPr>
              <w:t>生物杀灭剂和其他</w:t>
            </w:r>
            <w:r>
              <w:rPr>
                <w:kern w:val="0"/>
                <w:sz w:val="18"/>
                <w:szCs w:val="18"/>
                <w:lang/>
              </w:rPr>
              <w:t>投入品的管理要求、卫生控制要求。</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80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c>
          <w:tcPr>
            <w:tcW w:w="1080" w:type="dxa"/>
            <w:vMerge/>
            <w:tcBorders>
              <w:left w:val="single" w:sz="4" w:space="0" w:color="auto"/>
              <w:right w:val="single" w:sz="4" w:space="0" w:color="auto"/>
            </w:tcBorders>
            <w:vAlign w:val="center"/>
          </w:tcPr>
          <w:p w:rsidR="003E2CFB" w:rsidRDefault="003E2CFB">
            <w:pPr>
              <w:snapToGrid w:val="0"/>
              <w:jc w:val="left"/>
              <w:rPr>
                <w:sz w:val="18"/>
                <w:szCs w:val="18"/>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sz w:val="18"/>
                <w:szCs w:val="18"/>
              </w:rPr>
            </w:pP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sz w:val="18"/>
                <w:szCs w:val="18"/>
              </w:rPr>
              <w:t xml:space="preserve">3.1.2  </w:t>
            </w:r>
            <w:r>
              <w:rPr>
                <w:sz w:val="18"/>
                <w:szCs w:val="18"/>
              </w:rPr>
              <w:t>选择优质、抗病、适配本地环境的品种，有品种来源证明。</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60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11</w:t>
            </w:r>
          </w:p>
        </w:tc>
        <w:tc>
          <w:tcPr>
            <w:tcW w:w="1080" w:type="dxa"/>
            <w:vMerge/>
            <w:tcBorders>
              <w:left w:val="single" w:sz="4" w:space="0" w:color="auto"/>
              <w:right w:val="single" w:sz="4" w:space="0" w:color="auto"/>
            </w:tcBorders>
            <w:vAlign w:val="center"/>
          </w:tcPr>
          <w:p w:rsidR="003E2CFB" w:rsidRDefault="003E2CFB">
            <w:pPr>
              <w:snapToGrid w:val="0"/>
              <w:jc w:val="left"/>
              <w:rPr>
                <w:sz w:val="18"/>
                <w:szCs w:val="18"/>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sz w:val="18"/>
                <w:szCs w:val="18"/>
              </w:rPr>
            </w:pP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sz w:val="18"/>
                <w:szCs w:val="18"/>
              </w:rPr>
              <w:t xml:space="preserve">3.1.3  </w:t>
            </w:r>
            <w:r>
              <w:rPr>
                <w:sz w:val="18"/>
                <w:szCs w:val="18"/>
              </w:rPr>
              <w:t>农产品关键生产过程中应形成记录，包括但不限于繁种来源、药物（含动物用防疫品）、植保产品的使用等。</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60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12</w:t>
            </w:r>
          </w:p>
        </w:tc>
        <w:tc>
          <w:tcPr>
            <w:tcW w:w="1080" w:type="dxa"/>
            <w:vMerge/>
            <w:tcBorders>
              <w:left w:val="single" w:sz="4" w:space="0" w:color="auto"/>
              <w:right w:val="single" w:sz="4" w:space="0" w:color="auto"/>
            </w:tcBorders>
            <w:vAlign w:val="center"/>
          </w:tcPr>
          <w:p w:rsidR="003E2CFB" w:rsidRDefault="003E2CFB">
            <w:pPr>
              <w:snapToGrid w:val="0"/>
              <w:jc w:val="left"/>
              <w:rPr>
                <w:sz w:val="18"/>
                <w:szCs w:val="18"/>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sz w:val="18"/>
                <w:szCs w:val="18"/>
              </w:rPr>
            </w:pPr>
            <w:r>
              <w:rPr>
                <w:kern w:val="0"/>
                <w:sz w:val="18"/>
                <w:szCs w:val="18"/>
                <w:lang/>
              </w:rPr>
              <w:t>3.</w:t>
            </w:r>
            <w:r>
              <w:rPr>
                <w:kern w:val="0"/>
                <w:sz w:val="18"/>
                <w:szCs w:val="18"/>
                <w:lang/>
              </w:rPr>
              <w:t xml:space="preserve">1.4 </w:t>
            </w:r>
            <w:r>
              <w:rPr>
                <w:kern w:val="0"/>
                <w:sz w:val="18"/>
                <w:szCs w:val="18"/>
                <w:lang/>
              </w:rPr>
              <w:t xml:space="preserve"> </w:t>
            </w:r>
            <w:r>
              <w:rPr>
                <w:kern w:val="0"/>
                <w:sz w:val="18"/>
                <w:szCs w:val="18"/>
                <w:lang/>
              </w:rPr>
              <w:t>建立有农产品收获及加工过程的卫生控制要求，</w:t>
            </w:r>
            <w:r>
              <w:rPr>
                <w:kern w:val="0"/>
                <w:sz w:val="18"/>
                <w:szCs w:val="18"/>
                <w:lang/>
              </w:rPr>
              <w:t>内容包括但不限于：</w:t>
            </w:r>
            <w:r>
              <w:rPr>
                <w:kern w:val="0"/>
                <w:sz w:val="18"/>
                <w:szCs w:val="18"/>
                <w:lang/>
              </w:rPr>
              <w:t>容器及仓储管理控制要求，</w:t>
            </w:r>
            <w:r>
              <w:rPr>
                <w:kern w:val="0"/>
                <w:sz w:val="18"/>
                <w:szCs w:val="18"/>
                <w:lang/>
              </w:rPr>
              <w:t>环境控制</w:t>
            </w:r>
            <w:r>
              <w:rPr>
                <w:kern w:val="0"/>
                <w:sz w:val="18"/>
                <w:szCs w:val="18"/>
                <w:lang/>
              </w:rPr>
              <w:t>等，收获人员的卫生培训、设备设施的清洁消毒等</w:t>
            </w:r>
            <w:r>
              <w:rPr>
                <w:kern w:val="0"/>
                <w:sz w:val="18"/>
                <w:szCs w:val="18"/>
                <w:lang/>
              </w:rPr>
              <w:t>.</w:t>
            </w:r>
            <w:r>
              <w:rPr>
                <w:kern w:val="0"/>
                <w:sz w:val="18"/>
                <w:szCs w:val="18"/>
                <w:lang/>
              </w:rPr>
              <w:t>农产品收获后的处理符合产品特性要求，如农作物需进行冷藏、不应使用保鲜剂处理等。</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50</w:t>
            </w:r>
          </w:p>
        </w:tc>
      </w:tr>
      <w:tr w:rsidR="003E2CFB">
        <w:trPr>
          <w:jc w:val="center"/>
        </w:trPr>
        <w:tc>
          <w:tcPr>
            <w:tcW w:w="659" w:type="dxa"/>
            <w:tcBorders>
              <w:top w:val="single" w:sz="4" w:space="0" w:color="auto"/>
              <w:left w:val="single" w:sz="8" w:space="0" w:color="auto"/>
              <w:bottom w:val="single" w:sz="4" w:space="0" w:color="auto"/>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13</w:t>
            </w:r>
          </w:p>
        </w:tc>
        <w:tc>
          <w:tcPr>
            <w:tcW w:w="1080" w:type="dxa"/>
            <w:vMerge/>
            <w:tcBorders>
              <w:left w:val="single" w:sz="4" w:space="0" w:color="auto"/>
              <w:bottom w:val="single" w:sz="4" w:space="0" w:color="auto"/>
              <w:right w:val="single" w:sz="4" w:space="0" w:color="auto"/>
            </w:tcBorders>
            <w:vAlign w:val="center"/>
          </w:tcPr>
          <w:p w:rsidR="003E2CFB" w:rsidRDefault="003E2CFB">
            <w:pPr>
              <w:snapToGrid w:val="0"/>
              <w:jc w:val="left"/>
              <w:rPr>
                <w:sz w:val="18"/>
                <w:szCs w:val="18"/>
              </w:rPr>
            </w:pPr>
          </w:p>
        </w:tc>
        <w:tc>
          <w:tcPr>
            <w:tcW w:w="1516" w:type="dxa"/>
            <w:tcBorders>
              <w:top w:val="single" w:sz="4" w:space="0" w:color="auto"/>
              <w:left w:val="single" w:sz="4" w:space="0" w:color="auto"/>
              <w:bottom w:val="single" w:sz="4" w:space="0" w:color="auto"/>
              <w:right w:val="single" w:sz="4" w:space="0" w:color="auto"/>
            </w:tcBorders>
            <w:vAlign w:val="center"/>
          </w:tcPr>
          <w:p w:rsidR="003E2CFB" w:rsidRDefault="004807BF">
            <w:pPr>
              <w:snapToGrid w:val="0"/>
              <w:jc w:val="left"/>
              <w:rPr>
                <w:sz w:val="18"/>
                <w:szCs w:val="18"/>
              </w:rPr>
            </w:pPr>
            <w:r>
              <w:rPr>
                <w:sz w:val="18"/>
                <w:szCs w:val="18"/>
              </w:rPr>
              <w:t xml:space="preserve">3.2  </w:t>
            </w:r>
            <w:r>
              <w:rPr>
                <w:sz w:val="18"/>
                <w:szCs w:val="18"/>
              </w:rPr>
              <w:t>采购管理</w:t>
            </w:r>
          </w:p>
        </w:tc>
        <w:tc>
          <w:tcPr>
            <w:tcW w:w="4619"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3.</w:t>
            </w:r>
            <w:r>
              <w:rPr>
                <w:kern w:val="0"/>
                <w:sz w:val="18"/>
                <w:szCs w:val="18"/>
                <w:lang/>
              </w:rPr>
              <w:t>2</w:t>
            </w:r>
            <w:r>
              <w:rPr>
                <w:kern w:val="0"/>
                <w:sz w:val="18"/>
                <w:szCs w:val="18"/>
                <w:lang/>
              </w:rPr>
              <w:t>.</w:t>
            </w:r>
            <w:r>
              <w:rPr>
                <w:kern w:val="0"/>
                <w:sz w:val="18"/>
                <w:szCs w:val="18"/>
                <w:lang/>
              </w:rPr>
              <w:t>1</w:t>
            </w:r>
            <w:r>
              <w:rPr>
                <w:kern w:val="0"/>
                <w:sz w:val="18"/>
                <w:szCs w:val="18"/>
                <w:lang/>
              </w:rPr>
              <w:t xml:space="preserve">  </w:t>
            </w:r>
            <w:r>
              <w:rPr>
                <w:kern w:val="0"/>
                <w:sz w:val="18"/>
                <w:szCs w:val="18"/>
                <w:lang/>
              </w:rPr>
              <w:t>建立</w:t>
            </w:r>
            <w:r>
              <w:rPr>
                <w:kern w:val="0"/>
                <w:sz w:val="18"/>
                <w:szCs w:val="18"/>
                <w:lang/>
              </w:rPr>
              <w:t>有农产品生长过程使用的</w:t>
            </w:r>
            <w:r>
              <w:rPr>
                <w:kern w:val="0"/>
                <w:sz w:val="18"/>
                <w:szCs w:val="18"/>
                <w:lang/>
              </w:rPr>
              <w:t>兽药、</w:t>
            </w:r>
            <w:r>
              <w:rPr>
                <w:kern w:val="0"/>
                <w:sz w:val="18"/>
                <w:szCs w:val="18"/>
                <w:lang/>
              </w:rPr>
              <w:t>肥料</w:t>
            </w:r>
            <w:r>
              <w:rPr>
                <w:kern w:val="0"/>
                <w:sz w:val="18"/>
                <w:szCs w:val="18"/>
                <w:lang/>
              </w:rPr>
              <w:t>、消毒剂、植保产品、</w:t>
            </w:r>
            <w:r>
              <w:rPr>
                <w:kern w:val="0"/>
                <w:sz w:val="18"/>
                <w:szCs w:val="18"/>
                <w:lang/>
              </w:rPr>
              <w:t>饲料、</w:t>
            </w:r>
            <w:r>
              <w:rPr>
                <w:kern w:val="0"/>
                <w:sz w:val="18"/>
                <w:szCs w:val="18"/>
                <w:lang/>
              </w:rPr>
              <w:t>生物杀灭剂和其他</w:t>
            </w:r>
            <w:r>
              <w:rPr>
                <w:kern w:val="0"/>
                <w:sz w:val="18"/>
                <w:szCs w:val="18"/>
                <w:lang/>
              </w:rPr>
              <w:t>投入品清单，并能记录其来源。</w:t>
            </w:r>
          </w:p>
        </w:tc>
        <w:tc>
          <w:tcPr>
            <w:tcW w:w="1276" w:type="dxa"/>
            <w:tcBorders>
              <w:top w:val="single" w:sz="4" w:space="0" w:color="auto"/>
              <w:left w:val="single" w:sz="4" w:space="0" w:color="auto"/>
              <w:bottom w:val="single" w:sz="4" w:space="0" w:color="auto"/>
              <w:right w:val="single" w:sz="8" w:space="0" w:color="auto"/>
            </w:tcBorders>
            <w:vAlign w:val="center"/>
          </w:tcPr>
          <w:p w:rsidR="003E2CFB" w:rsidRDefault="004807BF">
            <w:pPr>
              <w:widowControl/>
              <w:snapToGrid w:val="0"/>
              <w:jc w:val="center"/>
              <w:textAlignment w:val="center"/>
              <w:rPr>
                <w:sz w:val="18"/>
                <w:szCs w:val="18"/>
              </w:rPr>
            </w:pPr>
            <w:r>
              <w:rPr>
                <w:sz w:val="18"/>
                <w:szCs w:val="18"/>
              </w:rPr>
              <w:t>50</w:t>
            </w:r>
          </w:p>
        </w:tc>
      </w:tr>
    </w:tbl>
    <w:p w:rsidR="003E2CFB" w:rsidRDefault="003E2CFB"/>
    <w:p w:rsidR="003E2CFB" w:rsidRDefault="003E2CFB">
      <w:pPr>
        <w:pStyle w:val="aff3"/>
      </w:pPr>
    </w:p>
    <w:p w:rsidR="003E2CFB" w:rsidRDefault="003E2CFB">
      <w:pPr>
        <w:pStyle w:val="aff3"/>
      </w:pPr>
    </w:p>
    <w:p w:rsidR="003E2CFB" w:rsidRDefault="004807BF">
      <w:pPr>
        <w:rPr>
          <w:rFonts w:eastAsia="黑体"/>
        </w:rPr>
      </w:pPr>
      <w:r>
        <w:rPr>
          <w:rFonts w:eastAsia="黑体"/>
        </w:rPr>
        <w:br w:type="page"/>
      </w:r>
    </w:p>
    <w:p w:rsidR="003E2CFB" w:rsidRDefault="004807BF" w:rsidP="00847364">
      <w:pPr>
        <w:pStyle w:val="afffc"/>
        <w:numPr>
          <w:ilvl w:val="2"/>
          <w:numId w:val="0"/>
        </w:numPr>
        <w:spacing w:beforeLines="50" w:afterLines="50"/>
        <w:jc w:val="center"/>
        <w:rPr>
          <w:rFonts w:ascii="Times New Roman" w:eastAsia="黑体"/>
        </w:rPr>
      </w:pPr>
      <w:r>
        <w:rPr>
          <w:rFonts w:ascii="Times New Roman" w:eastAsia="黑体"/>
        </w:rPr>
        <w:lastRenderedPageBreak/>
        <w:t>表</w:t>
      </w:r>
      <w:r>
        <w:rPr>
          <w:rFonts w:ascii="Times New Roman" w:eastAsia="黑体"/>
        </w:rPr>
        <w:t xml:space="preserve"> </w:t>
      </w:r>
      <w:r>
        <w:rPr>
          <w:rFonts w:ascii="Times New Roman" w:eastAsia="黑体"/>
        </w:rPr>
        <w:t>C</w:t>
      </w:r>
      <w:r>
        <w:rPr>
          <w:rFonts w:ascii="Times New Roman" w:eastAsia="黑体"/>
        </w:rPr>
        <w:t xml:space="preserve">.1  </w:t>
      </w:r>
      <w:r>
        <w:rPr>
          <w:rFonts w:ascii="Times New Roman" w:eastAsia="黑体"/>
        </w:rPr>
        <w:t>农产品</w:t>
      </w:r>
      <w:r>
        <w:rPr>
          <w:rFonts w:ascii="Times New Roman" w:eastAsia="黑体"/>
        </w:rPr>
        <w:t>资料评价指标及评价要求（续）</w:t>
      </w:r>
    </w:p>
    <w:tbl>
      <w:tblPr>
        <w:tblW w:w="9150" w:type="dxa"/>
        <w:jc w:val="center"/>
        <w:tblLayout w:type="fixed"/>
        <w:tblLook w:val="04A0"/>
      </w:tblPr>
      <w:tblGrid>
        <w:gridCol w:w="659"/>
        <w:gridCol w:w="1080"/>
        <w:gridCol w:w="1516"/>
        <w:gridCol w:w="4619"/>
        <w:gridCol w:w="1276"/>
      </w:tblGrid>
      <w:tr w:rsidR="003E2CFB">
        <w:trPr>
          <w:jc w:val="center"/>
        </w:trPr>
        <w:tc>
          <w:tcPr>
            <w:tcW w:w="659" w:type="dxa"/>
            <w:vMerge w:val="restart"/>
            <w:tcBorders>
              <w:top w:val="single" w:sz="8"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2596" w:type="dxa"/>
            <w:gridSpan w:val="2"/>
            <w:tcBorders>
              <w:top w:val="single" w:sz="8" w:space="0" w:color="000000"/>
              <w:left w:val="single" w:sz="4" w:space="0" w:color="000000"/>
              <w:bottom w:val="single" w:sz="4" w:space="0" w:color="000000"/>
              <w:right w:val="single" w:sz="4" w:space="0" w:color="000000"/>
            </w:tcBorders>
            <w:vAlign w:val="center"/>
          </w:tcPr>
          <w:p w:rsidR="003E2CFB" w:rsidRDefault="004807BF">
            <w:pPr>
              <w:snapToGrid w:val="0"/>
              <w:jc w:val="center"/>
              <w:rPr>
                <w:sz w:val="18"/>
                <w:szCs w:val="18"/>
              </w:rPr>
            </w:pPr>
            <w:r>
              <w:rPr>
                <w:kern w:val="0"/>
                <w:sz w:val="18"/>
                <w:szCs w:val="18"/>
                <w:lang/>
              </w:rPr>
              <w:t>指标名称</w:t>
            </w:r>
          </w:p>
        </w:tc>
        <w:tc>
          <w:tcPr>
            <w:tcW w:w="4619" w:type="dxa"/>
            <w:vMerge w:val="restart"/>
            <w:tcBorders>
              <w:top w:val="single" w:sz="8" w:space="0" w:color="000000"/>
              <w:left w:val="single" w:sz="4"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276" w:type="dxa"/>
            <w:vMerge w:val="restart"/>
            <w:tcBorders>
              <w:top w:val="single" w:sz="8"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jc w:val="center"/>
        </w:trPr>
        <w:tc>
          <w:tcPr>
            <w:tcW w:w="659" w:type="dxa"/>
            <w:vMerge/>
            <w:tcBorders>
              <w:top w:val="single" w:sz="8" w:space="0" w:color="000000"/>
              <w:left w:val="single" w:sz="8" w:space="0" w:color="000000"/>
              <w:bottom w:val="single" w:sz="8" w:space="0" w:color="000000"/>
              <w:right w:val="single" w:sz="4" w:space="0" w:color="000000"/>
            </w:tcBorders>
            <w:vAlign w:val="center"/>
          </w:tcPr>
          <w:p w:rsidR="003E2CFB" w:rsidRDefault="003E2CFB">
            <w:pPr>
              <w:widowControl/>
              <w:snapToGrid w:val="0"/>
              <w:jc w:val="center"/>
              <w:textAlignment w:val="center"/>
              <w:rPr>
                <w:sz w:val="18"/>
                <w:szCs w:val="18"/>
              </w:rPr>
            </w:pPr>
          </w:p>
        </w:tc>
        <w:tc>
          <w:tcPr>
            <w:tcW w:w="1080" w:type="dxa"/>
            <w:tcBorders>
              <w:top w:val="single" w:sz="4"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一级指标</w:t>
            </w:r>
          </w:p>
        </w:tc>
        <w:tc>
          <w:tcPr>
            <w:tcW w:w="1516" w:type="dxa"/>
            <w:tcBorders>
              <w:top w:val="single" w:sz="4" w:space="0" w:color="000000"/>
              <w:left w:val="single" w:sz="4"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二级指标</w:t>
            </w:r>
          </w:p>
        </w:tc>
        <w:tc>
          <w:tcPr>
            <w:tcW w:w="4619" w:type="dxa"/>
            <w:vMerge/>
            <w:tcBorders>
              <w:top w:val="single" w:sz="4" w:space="0" w:color="000000"/>
              <w:left w:val="single" w:sz="4" w:space="0" w:color="000000"/>
              <w:bottom w:val="single" w:sz="8" w:space="0" w:color="000000"/>
              <w:right w:val="single" w:sz="4" w:space="0" w:color="000000"/>
            </w:tcBorders>
            <w:vAlign w:val="center"/>
          </w:tcPr>
          <w:p w:rsidR="003E2CFB" w:rsidRDefault="003E2CFB">
            <w:pPr>
              <w:widowControl/>
              <w:snapToGrid w:val="0"/>
              <w:jc w:val="left"/>
              <w:textAlignment w:val="center"/>
              <w:rPr>
                <w:sz w:val="18"/>
                <w:szCs w:val="18"/>
              </w:rPr>
            </w:pPr>
          </w:p>
        </w:tc>
        <w:tc>
          <w:tcPr>
            <w:tcW w:w="1276" w:type="dxa"/>
            <w:vMerge/>
            <w:tcBorders>
              <w:top w:val="single" w:sz="4" w:space="0" w:color="000000"/>
              <w:left w:val="single" w:sz="4" w:space="0" w:color="000000"/>
              <w:bottom w:val="single" w:sz="8" w:space="0" w:color="000000"/>
              <w:right w:val="single" w:sz="8" w:space="0" w:color="000000"/>
            </w:tcBorders>
            <w:vAlign w:val="center"/>
          </w:tcPr>
          <w:p w:rsidR="003E2CFB" w:rsidRDefault="003E2CFB">
            <w:pPr>
              <w:widowControl/>
              <w:snapToGrid w:val="0"/>
              <w:jc w:val="center"/>
              <w:textAlignment w:val="center"/>
              <w:rPr>
                <w:sz w:val="18"/>
                <w:szCs w:val="18"/>
              </w:rPr>
            </w:pPr>
          </w:p>
        </w:tc>
      </w:tr>
      <w:tr w:rsidR="003E2CFB">
        <w:trPr>
          <w:trHeight w:val="960"/>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14</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  </w:t>
            </w:r>
            <w:r>
              <w:rPr>
                <w:kern w:val="0"/>
                <w:sz w:val="18"/>
                <w:szCs w:val="18"/>
                <w:lang/>
              </w:rPr>
              <w:t>产品责任及</w:t>
            </w:r>
            <w:r>
              <w:rPr>
                <w:kern w:val="0"/>
                <w:sz w:val="18"/>
                <w:szCs w:val="18"/>
                <w:lang/>
              </w:rPr>
              <w:t>客户</w:t>
            </w:r>
            <w:r>
              <w:rPr>
                <w:kern w:val="0"/>
                <w:sz w:val="18"/>
                <w:szCs w:val="18"/>
                <w:lang/>
              </w:rPr>
              <w:t>权益保障</w:t>
            </w:r>
          </w:p>
        </w:tc>
        <w:tc>
          <w:tcPr>
            <w:tcW w:w="1516"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4.1  </w:t>
            </w:r>
            <w:r>
              <w:rPr>
                <w:kern w:val="0"/>
                <w:sz w:val="18"/>
                <w:szCs w:val="18"/>
                <w:lang/>
              </w:rPr>
              <w:t>产品责任</w:t>
            </w:r>
          </w:p>
        </w:tc>
        <w:tc>
          <w:tcPr>
            <w:tcW w:w="461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4.1.</w:t>
            </w:r>
            <w:r>
              <w:rPr>
                <w:kern w:val="0"/>
                <w:sz w:val="18"/>
                <w:szCs w:val="18"/>
                <w:lang/>
              </w:rPr>
              <w:t>1</w:t>
            </w:r>
            <w:r>
              <w:rPr>
                <w:kern w:val="0"/>
                <w:sz w:val="18"/>
                <w:szCs w:val="18"/>
                <w:lang/>
              </w:rPr>
              <w:t xml:space="preserve">  </w:t>
            </w:r>
            <w:r>
              <w:rPr>
                <w:kern w:val="0"/>
                <w:sz w:val="18"/>
                <w:szCs w:val="18"/>
                <w:lang/>
              </w:rPr>
              <w:t>能建立有效的追溯系统，记录包括但不限于：收获日期、基地场所、加工时间、品种、出入库数量、产品去向（厂商名称、地址、联系方式）、产品标识（名称、批号、数量和规格）、交易时间、地点，追溯信息保存期限</w:t>
            </w:r>
            <w:r>
              <w:rPr>
                <w:rFonts w:hint="eastAsia"/>
                <w:kern w:val="0"/>
                <w:sz w:val="18"/>
                <w:szCs w:val="18"/>
                <w:lang/>
              </w:rPr>
              <w:t>至少</w:t>
            </w:r>
            <w:r>
              <w:rPr>
                <w:kern w:val="0"/>
                <w:sz w:val="18"/>
                <w:szCs w:val="18"/>
                <w:lang/>
              </w:rPr>
              <w:t>为产品的保存期限后半年。</w:t>
            </w:r>
          </w:p>
        </w:tc>
        <w:tc>
          <w:tcPr>
            <w:tcW w:w="1276"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sz w:val="18"/>
                <w:szCs w:val="18"/>
              </w:rPr>
              <w:t>50</w:t>
            </w:r>
          </w:p>
        </w:tc>
      </w:tr>
      <w:tr w:rsidR="003E2CFB">
        <w:trPr>
          <w:jc w:val="center"/>
        </w:trPr>
        <w:tc>
          <w:tcPr>
            <w:tcW w:w="659"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sz w:val="18"/>
                <w:szCs w:val="18"/>
              </w:rPr>
              <w:t>15</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snapToGrid w:val="0"/>
              <w:jc w:val="left"/>
              <w:rPr>
                <w:sz w:val="18"/>
                <w:szCs w:val="18"/>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 xml:space="preserve">4.2  </w:t>
            </w:r>
            <w:r>
              <w:rPr>
                <w:kern w:val="0"/>
                <w:sz w:val="18"/>
                <w:szCs w:val="18"/>
                <w:lang/>
              </w:rPr>
              <w:t>客户</w:t>
            </w:r>
            <w:r>
              <w:rPr>
                <w:kern w:val="0"/>
                <w:sz w:val="18"/>
                <w:szCs w:val="18"/>
                <w:lang/>
              </w:rPr>
              <w:t>权益保障</w:t>
            </w:r>
          </w:p>
        </w:tc>
        <w:tc>
          <w:tcPr>
            <w:tcW w:w="4619"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sz w:val="18"/>
                <w:szCs w:val="18"/>
              </w:rPr>
            </w:pPr>
            <w:r>
              <w:rPr>
                <w:kern w:val="0"/>
                <w:sz w:val="18"/>
                <w:szCs w:val="18"/>
                <w:lang/>
              </w:rPr>
              <w:t>4.2.</w:t>
            </w:r>
            <w:r>
              <w:rPr>
                <w:kern w:val="0"/>
                <w:sz w:val="18"/>
                <w:szCs w:val="18"/>
                <w:lang/>
              </w:rPr>
              <w:t>1</w:t>
            </w:r>
            <w:r>
              <w:rPr>
                <w:kern w:val="0"/>
                <w:sz w:val="18"/>
                <w:szCs w:val="18"/>
                <w:lang/>
              </w:rPr>
              <w:t xml:space="preserve">  </w:t>
            </w:r>
            <w:r>
              <w:rPr>
                <w:kern w:val="0"/>
                <w:sz w:val="18"/>
                <w:szCs w:val="18"/>
                <w:lang/>
              </w:rPr>
              <w:t>建立客户投诉处理程序，内容包括但不限于：投诉渠道、投诉分类、投诉处理流程、响应时效要求、改进要求等。</w:t>
            </w:r>
          </w:p>
        </w:tc>
        <w:tc>
          <w:tcPr>
            <w:tcW w:w="1276"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sz w:val="18"/>
                <w:szCs w:val="18"/>
              </w:rPr>
            </w:pPr>
            <w:r>
              <w:rPr>
                <w:sz w:val="18"/>
                <w:szCs w:val="18"/>
              </w:rPr>
              <w:t>30</w:t>
            </w:r>
          </w:p>
        </w:tc>
      </w:tr>
      <w:tr w:rsidR="003E2CFB">
        <w:trPr>
          <w:jc w:val="center"/>
        </w:trPr>
        <w:tc>
          <w:tcPr>
            <w:tcW w:w="7874" w:type="dxa"/>
            <w:gridSpan w:val="4"/>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合计</w:t>
            </w:r>
          </w:p>
        </w:tc>
        <w:tc>
          <w:tcPr>
            <w:tcW w:w="1276"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rFonts w:eastAsia="黑体"/>
                <w:sz w:val="18"/>
                <w:szCs w:val="18"/>
              </w:rPr>
            </w:pPr>
            <w:r>
              <w:rPr>
                <w:rFonts w:eastAsia="黑体"/>
                <w:sz w:val="18"/>
                <w:szCs w:val="18"/>
              </w:rPr>
              <w:t>800</w:t>
            </w:r>
          </w:p>
        </w:tc>
      </w:tr>
    </w:tbl>
    <w:p w:rsidR="003E2CFB" w:rsidRDefault="003E2CFB"/>
    <w:p w:rsidR="003E2CFB" w:rsidRDefault="003E2CFB">
      <w:pPr>
        <w:pStyle w:val="aff3"/>
      </w:pPr>
    </w:p>
    <w:p w:rsidR="003E2CFB" w:rsidRDefault="003E2CFB">
      <w:pPr>
        <w:pStyle w:val="aff3"/>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3E2CFB">
      <w:pPr>
        <w:pStyle w:val="afffc"/>
        <w:numPr>
          <w:ilvl w:val="2"/>
          <w:numId w:val="0"/>
        </w:numPr>
        <w:jc w:val="center"/>
        <w:rPr>
          <w:rFonts w:ascii="Times New Roman" w:eastAsia="黑体"/>
        </w:rPr>
      </w:pPr>
    </w:p>
    <w:p w:rsidR="003E2CFB" w:rsidRDefault="004807BF">
      <w:pPr>
        <w:rPr>
          <w:rFonts w:eastAsia="黑体"/>
        </w:rPr>
      </w:pPr>
      <w:r>
        <w:rPr>
          <w:rFonts w:eastAsia="黑体"/>
        </w:rPr>
        <w:br w:type="page"/>
      </w:r>
    </w:p>
    <w:p w:rsidR="003E2CFB" w:rsidRDefault="004807BF">
      <w:pPr>
        <w:pStyle w:val="afffc"/>
        <w:numPr>
          <w:ilvl w:val="2"/>
          <w:numId w:val="0"/>
        </w:numPr>
        <w:jc w:val="center"/>
        <w:rPr>
          <w:rFonts w:ascii="Times New Roman" w:eastAsia="黑体"/>
        </w:rPr>
      </w:pPr>
      <w:r>
        <w:rPr>
          <w:rFonts w:ascii="Times New Roman" w:eastAsia="黑体"/>
        </w:rPr>
        <w:lastRenderedPageBreak/>
        <w:t>附</w:t>
      </w:r>
      <w:r>
        <w:rPr>
          <w:rFonts w:ascii="Times New Roman" w:eastAsia="黑体"/>
        </w:rPr>
        <w:t xml:space="preserve"> </w:t>
      </w:r>
      <w:r>
        <w:rPr>
          <w:rFonts w:ascii="Times New Roman" w:eastAsia="黑体"/>
        </w:rPr>
        <w:t>录</w:t>
      </w:r>
      <w:r>
        <w:rPr>
          <w:rFonts w:ascii="Times New Roman" w:eastAsia="黑体"/>
        </w:rPr>
        <w:t>D</w:t>
      </w:r>
    </w:p>
    <w:p w:rsidR="003E2CFB" w:rsidRDefault="004807BF">
      <w:pPr>
        <w:pStyle w:val="afffc"/>
        <w:numPr>
          <w:ilvl w:val="2"/>
          <w:numId w:val="0"/>
        </w:numPr>
        <w:jc w:val="center"/>
        <w:rPr>
          <w:rFonts w:ascii="Times New Roman" w:eastAsia="黑体"/>
        </w:rPr>
      </w:pPr>
      <w:r>
        <w:rPr>
          <w:rFonts w:ascii="Times New Roman" w:eastAsia="黑体"/>
        </w:rPr>
        <w:t>(</w:t>
      </w:r>
      <w:r>
        <w:rPr>
          <w:rFonts w:ascii="Times New Roman" w:eastAsia="黑体"/>
        </w:rPr>
        <w:t>规范性</w:t>
      </w:r>
      <w:r>
        <w:rPr>
          <w:rFonts w:ascii="Times New Roman" w:eastAsia="黑体"/>
        </w:rPr>
        <w:t>)</w:t>
      </w:r>
    </w:p>
    <w:p w:rsidR="003E2CFB" w:rsidRDefault="004807BF">
      <w:pPr>
        <w:pStyle w:val="afffc"/>
        <w:numPr>
          <w:ilvl w:val="2"/>
          <w:numId w:val="0"/>
        </w:numPr>
        <w:jc w:val="center"/>
        <w:rPr>
          <w:rFonts w:ascii="Times New Roman" w:eastAsia="黑体"/>
        </w:rPr>
      </w:pPr>
      <w:r>
        <w:rPr>
          <w:rFonts w:ascii="Times New Roman" w:eastAsia="黑体"/>
        </w:rPr>
        <w:t>农产品</w:t>
      </w:r>
      <w:r>
        <w:rPr>
          <w:rFonts w:ascii="Times New Roman" w:eastAsia="黑体"/>
        </w:rPr>
        <w:t>现场评价指标及评价要求</w:t>
      </w:r>
    </w:p>
    <w:p w:rsidR="003E2CFB" w:rsidRDefault="003E2CFB">
      <w:pPr>
        <w:pStyle w:val="afffc"/>
        <w:numPr>
          <w:ilvl w:val="2"/>
          <w:numId w:val="0"/>
        </w:numPr>
        <w:ind w:firstLineChars="200" w:firstLine="420"/>
        <w:jc w:val="both"/>
        <w:rPr>
          <w:rFonts w:ascii="Times New Roman"/>
        </w:rPr>
      </w:pPr>
    </w:p>
    <w:p w:rsidR="003E2CFB" w:rsidRDefault="004807BF">
      <w:pPr>
        <w:pStyle w:val="afffc"/>
        <w:numPr>
          <w:ilvl w:val="2"/>
          <w:numId w:val="0"/>
        </w:numPr>
        <w:ind w:firstLineChars="200" w:firstLine="420"/>
        <w:jc w:val="both"/>
        <w:rPr>
          <w:rFonts w:ascii="Times New Roman"/>
        </w:rPr>
      </w:pPr>
      <w:r>
        <w:rPr>
          <w:rFonts w:ascii="Times New Roman"/>
        </w:rPr>
        <w:t>农产品</w:t>
      </w:r>
      <w:r>
        <w:rPr>
          <w:rFonts w:ascii="Times New Roman"/>
        </w:rPr>
        <w:t>现场评价指标、评价要求及分值见表</w:t>
      </w:r>
      <w:r>
        <w:rPr>
          <w:rFonts w:ascii="Times New Roman"/>
        </w:rPr>
        <w:t>D</w:t>
      </w:r>
      <w:r>
        <w:rPr>
          <w:rFonts w:ascii="Times New Roman"/>
        </w:rPr>
        <w:t>.1</w:t>
      </w:r>
      <w:r>
        <w:rPr>
          <w:rFonts w:ascii="Times New Roman"/>
        </w:rPr>
        <w:t>。</w:t>
      </w:r>
    </w:p>
    <w:p w:rsidR="003E2CFB" w:rsidRDefault="003E2CFB">
      <w:pPr>
        <w:pStyle w:val="afffc"/>
        <w:numPr>
          <w:ilvl w:val="2"/>
          <w:numId w:val="0"/>
        </w:numPr>
        <w:ind w:firstLineChars="200" w:firstLine="420"/>
        <w:jc w:val="center"/>
        <w:rPr>
          <w:rFonts w:ascii="Times New Roman" w:eastAsia="黑体"/>
        </w:rPr>
      </w:pPr>
    </w:p>
    <w:p w:rsidR="003E2CFB" w:rsidRDefault="004807BF">
      <w:pPr>
        <w:pStyle w:val="afffc"/>
        <w:numPr>
          <w:ilvl w:val="2"/>
          <w:numId w:val="0"/>
        </w:numPr>
        <w:ind w:firstLineChars="200" w:firstLine="420"/>
        <w:jc w:val="center"/>
        <w:rPr>
          <w:rFonts w:ascii="Times New Roman" w:eastAsia="黑体"/>
        </w:rPr>
      </w:pPr>
      <w:r>
        <w:rPr>
          <w:rFonts w:ascii="Times New Roman" w:eastAsia="黑体"/>
        </w:rPr>
        <w:t>表</w:t>
      </w:r>
      <w:r>
        <w:rPr>
          <w:rFonts w:ascii="Times New Roman" w:eastAsia="黑体"/>
        </w:rPr>
        <w:t xml:space="preserve"> </w:t>
      </w:r>
      <w:r>
        <w:rPr>
          <w:rFonts w:ascii="Times New Roman" w:eastAsia="黑体"/>
        </w:rPr>
        <w:t>D</w:t>
      </w:r>
      <w:r>
        <w:rPr>
          <w:rFonts w:ascii="Times New Roman" w:eastAsia="黑体"/>
        </w:rPr>
        <w:t xml:space="preserve">.1  </w:t>
      </w:r>
      <w:r>
        <w:rPr>
          <w:rFonts w:ascii="Times New Roman" w:eastAsia="黑体"/>
        </w:rPr>
        <w:t>农产品</w:t>
      </w:r>
      <w:r>
        <w:rPr>
          <w:rFonts w:ascii="Times New Roman" w:eastAsia="黑体"/>
        </w:rPr>
        <w:t>现场评价指标及评价要求</w:t>
      </w:r>
    </w:p>
    <w:tbl>
      <w:tblPr>
        <w:tblW w:w="9152" w:type="dxa"/>
        <w:jc w:val="center"/>
        <w:tblLook w:val="04A0"/>
      </w:tblPr>
      <w:tblGrid>
        <w:gridCol w:w="705"/>
        <w:gridCol w:w="1080"/>
        <w:gridCol w:w="6085"/>
        <w:gridCol w:w="1282"/>
      </w:tblGrid>
      <w:tr w:rsidR="003E2CFB">
        <w:trPr>
          <w:trHeight w:val="512"/>
          <w:jc w:val="center"/>
        </w:trPr>
        <w:tc>
          <w:tcPr>
            <w:tcW w:w="705" w:type="dxa"/>
            <w:tcBorders>
              <w:top w:val="single" w:sz="8"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序号</w:t>
            </w:r>
          </w:p>
        </w:tc>
        <w:tc>
          <w:tcPr>
            <w:tcW w:w="1080" w:type="dxa"/>
            <w:tcBorders>
              <w:top w:val="single" w:sz="8" w:space="0" w:color="000000"/>
              <w:left w:val="single" w:sz="4" w:space="0" w:color="000000"/>
              <w:bottom w:val="single" w:sz="4" w:space="0" w:color="auto"/>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指标名称</w:t>
            </w:r>
          </w:p>
        </w:tc>
        <w:tc>
          <w:tcPr>
            <w:tcW w:w="6085" w:type="dxa"/>
            <w:tcBorders>
              <w:top w:val="single" w:sz="8" w:space="0" w:color="000000"/>
              <w:left w:val="single" w:sz="4" w:space="0" w:color="000000"/>
              <w:bottom w:val="single" w:sz="4" w:space="0" w:color="auto"/>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评价要求</w:t>
            </w:r>
          </w:p>
        </w:tc>
        <w:tc>
          <w:tcPr>
            <w:tcW w:w="1282" w:type="dxa"/>
            <w:tcBorders>
              <w:top w:val="single" w:sz="8" w:space="0" w:color="000000"/>
              <w:left w:val="single" w:sz="4" w:space="0" w:color="000000"/>
              <w:bottom w:val="single" w:sz="8" w:space="0" w:color="000000"/>
              <w:right w:val="single" w:sz="8" w:space="0" w:color="000000"/>
            </w:tcBorders>
            <w:vAlign w:val="center"/>
          </w:tcPr>
          <w:p w:rsidR="003E2CFB" w:rsidRDefault="004807BF">
            <w:pPr>
              <w:widowControl/>
              <w:snapToGrid w:val="0"/>
              <w:jc w:val="center"/>
              <w:textAlignment w:val="center"/>
              <w:rPr>
                <w:sz w:val="18"/>
                <w:szCs w:val="18"/>
              </w:rPr>
            </w:pPr>
            <w:r>
              <w:rPr>
                <w:kern w:val="0"/>
                <w:sz w:val="18"/>
                <w:szCs w:val="18"/>
                <w:lang/>
              </w:rPr>
              <w:t>单项分值</w:t>
            </w:r>
          </w:p>
        </w:tc>
      </w:tr>
      <w:tr w:rsidR="003E2CFB">
        <w:trPr>
          <w:trHeight w:val="245"/>
          <w:jc w:val="center"/>
        </w:trPr>
        <w:tc>
          <w:tcPr>
            <w:tcW w:w="705" w:type="dxa"/>
            <w:tcBorders>
              <w:top w:val="single" w:sz="8" w:space="0" w:color="000000"/>
              <w:left w:val="single" w:sz="8" w:space="0" w:color="000000"/>
              <w:bottom w:val="single" w:sz="4" w:space="0" w:color="000000"/>
              <w:right w:val="single" w:sz="4" w:space="0" w:color="auto"/>
            </w:tcBorders>
            <w:vAlign w:val="center"/>
          </w:tcPr>
          <w:p w:rsidR="003E2CFB" w:rsidRDefault="004807BF">
            <w:pPr>
              <w:widowControl/>
              <w:snapToGrid w:val="0"/>
              <w:jc w:val="center"/>
              <w:textAlignment w:val="center"/>
              <w:rPr>
                <w:sz w:val="18"/>
                <w:szCs w:val="18"/>
              </w:rPr>
            </w:pPr>
            <w:r>
              <w:rPr>
                <w:kern w:val="0"/>
                <w:sz w:val="18"/>
                <w:szCs w:val="18"/>
                <w:lang/>
              </w:rPr>
              <w:t>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  </w:t>
            </w:r>
            <w:r>
              <w:rPr>
                <w:kern w:val="0"/>
                <w:sz w:val="18"/>
                <w:szCs w:val="18"/>
                <w:lang/>
              </w:rPr>
              <w:t>生产现场</w:t>
            </w:r>
          </w:p>
        </w:tc>
        <w:tc>
          <w:tcPr>
            <w:tcW w:w="6085"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1.1  </w:t>
            </w:r>
            <w:r>
              <w:rPr>
                <w:kern w:val="0"/>
                <w:sz w:val="18"/>
                <w:szCs w:val="18"/>
                <w:lang/>
              </w:rPr>
              <w:t>生长场所选址合</w:t>
            </w:r>
            <w:proofErr w:type="gramStart"/>
            <w:r>
              <w:rPr>
                <w:kern w:val="0"/>
                <w:sz w:val="18"/>
                <w:szCs w:val="18"/>
                <w:lang/>
              </w:rPr>
              <w:t>规</w:t>
            </w:r>
            <w:proofErr w:type="gramEnd"/>
            <w:r>
              <w:rPr>
                <w:kern w:val="0"/>
                <w:sz w:val="18"/>
                <w:szCs w:val="18"/>
                <w:lang/>
              </w:rPr>
              <w:t>、布局合理，远离污染源，有明确边界标识。</w:t>
            </w:r>
          </w:p>
        </w:tc>
        <w:tc>
          <w:tcPr>
            <w:tcW w:w="1282" w:type="dxa"/>
            <w:tcBorders>
              <w:top w:val="single" w:sz="8" w:space="0" w:color="000000"/>
              <w:left w:val="single" w:sz="4" w:space="0" w:color="auto"/>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25</w:t>
            </w:r>
          </w:p>
        </w:tc>
      </w:tr>
      <w:tr w:rsidR="003E2CFB">
        <w:trPr>
          <w:jc w:val="center"/>
        </w:trPr>
        <w:tc>
          <w:tcPr>
            <w:tcW w:w="705" w:type="dxa"/>
            <w:tcBorders>
              <w:top w:val="single" w:sz="4" w:space="0" w:color="000000"/>
              <w:left w:val="single" w:sz="8" w:space="0" w:color="000000"/>
              <w:bottom w:val="single" w:sz="4" w:space="0" w:color="000000"/>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2</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1.2  </w:t>
            </w:r>
            <w:r>
              <w:rPr>
                <w:kern w:val="0"/>
                <w:sz w:val="18"/>
                <w:szCs w:val="18"/>
                <w:lang/>
              </w:rPr>
              <w:t>生产现场保持有技术文件，包括但不限于：生产技术规程、管理制度等。</w:t>
            </w:r>
          </w:p>
        </w:tc>
        <w:tc>
          <w:tcPr>
            <w:tcW w:w="1282" w:type="dxa"/>
            <w:tcBorders>
              <w:top w:val="single" w:sz="4" w:space="0" w:color="000000"/>
              <w:left w:val="single" w:sz="4" w:space="0" w:color="auto"/>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25</w:t>
            </w:r>
          </w:p>
        </w:tc>
      </w:tr>
      <w:tr w:rsidR="003E2CFB">
        <w:trPr>
          <w:trHeight w:val="90"/>
          <w:jc w:val="center"/>
        </w:trPr>
        <w:tc>
          <w:tcPr>
            <w:tcW w:w="705" w:type="dxa"/>
            <w:tcBorders>
              <w:top w:val="single" w:sz="4" w:space="0" w:color="000000"/>
              <w:left w:val="single" w:sz="8" w:space="0" w:color="000000"/>
              <w:bottom w:val="single" w:sz="4" w:space="0" w:color="000000"/>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3</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1.3  </w:t>
            </w:r>
            <w:r>
              <w:rPr>
                <w:kern w:val="0"/>
                <w:sz w:val="18"/>
                <w:szCs w:val="18"/>
                <w:lang/>
              </w:rPr>
              <w:t>生产各关键过程保持记录，包括但不限于繁种、药物（含动物用防疫品）、植保产品的使用等，与技术文件规定一致，并符合国家相关标准，不使用禁用药物</w:t>
            </w:r>
            <w:r>
              <w:rPr>
                <w:kern w:val="0"/>
                <w:sz w:val="18"/>
                <w:szCs w:val="18"/>
                <w:lang/>
              </w:rPr>
              <w:t>/</w:t>
            </w:r>
            <w:r>
              <w:rPr>
                <w:kern w:val="0"/>
                <w:sz w:val="18"/>
                <w:szCs w:val="18"/>
                <w:lang/>
              </w:rPr>
              <w:t>植保产品。</w:t>
            </w:r>
          </w:p>
        </w:tc>
        <w:tc>
          <w:tcPr>
            <w:tcW w:w="1282" w:type="dxa"/>
            <w:tcBorders>
              <w:top w:val="single" w:sz="4" w:space="0" w:color="000000"/>
              <w:left w:val="single" w:sz="4" w:space="0" w:color="auto"/>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40</w:t>
            </w:r>
          </w:p>
        </w:tc>
      </w:tr>
      <w:tr w:rsidR="003E2CFB">
        <w:trPr>
          <w:jc w:val="center"/>
        </w:trPr>
        <w:tc>
          <w:tcPr>
            <w:tcW w:w="705" w:type="dxa"/>
            <w:tcBorders>
              <w:top w:val="single" w:sz="4" w:space="0" w:color="000000"/>
              <w:left w:val="single" w:sz="8" w:space="0" w:color="000000"/>
              <w:bottom w:val="single" w:sz="4" w:space="0" w:color="000000"/>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4</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1.4  </w:t>
            </w:r>
            <w:r>
              <w:rPr>
                <w:kern w:val="0"/>
                <w:sz w:val="18"/>
                <w:szCs w:val="18"/>
                <w:lang/>
              </w:rPr>
              <w:t>生产需要的设备设施与产品特性相适宜，需要的各项设备如灌溉、施肥、病虫害防治、饲喂等设备齐全，定期维护，有维护记录</w:t>
            </w:r>
          </w:p>
        </w:tc>
        <w:tc>
          <w:tcPr>
            <w:tcW w:w="1282" w:type="dxa"/>
            <w:tcBorders>
              <w:top w:val="single" w:sz="4" w:space="0" w:color="000000"/>
              <w:left w:val="single" w:sz="4" w:space="0" w:color="auto"/>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auto"/>
            </w:tcBorders>
            <w:vAlign w:val="center"/>
          </w:tcPr>
          <w:p w:rsidR="003E2CFB" w:rsidRDefault="004807BF">
            <w:pPr>
              <w:widowControl/>
              <w:snapToGrid w:val="0"/>
              <w:jc w:val="center"/>
              <w:textAlignment w:val="center"/>
              <w:rPr>
                <w:sz w:val="18"/>
                <w:szCs w:val="18"/>
              </w:rPr>
            </w:pPr>
            <w:r>
              <w:rPr>
                <w:sz w:val="18"/>
                <w:szCs w:val="18"/>
              </w:rPr>
              <w:t>5</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1.5  </w:t>
            </w:r>
            <w:r>
              <w:rPr>
                <w:kern w:val="0"/>
                <w:sz w:val="18"/>
                <w:szCs w:val="18"/>
                <w:lang/>
              </w:rPr>
              <w:t>对生产现场使用的兽药、化学品、消毒剂、植保产品、饲料、生物杀灭剂、药物（含防疫品）和其他投入品等能良好储存，实施有效防护，包括：标识、堆放、搬运、储存等。</w:t>
            </w:r>
          </w:p>
        </w:tc>
        <w:tc>
          <w:tcPr>
            <w:tcW w:w="1282" w:type="dxa"/>
            <w:tcBorders>
              <w:top w:val="single" w:sz="4" w:space="0" w:color="000000"/>
              <w:left w:val="single" w:sz="4" w:space="0" w:color="auto"/>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25</w:t>
            </w:r>
          </w:p>
        </w:tc>
      </w:tr>
      <w:tr w:rsidR="003E2CFB">
        <w:trPr>
          <w:jc w:val="center"/>
        </w:trPr>
        <w:tc>
          <w:tcPr>
            <w:tcW w:w="705" w:type="dxa"/>
            <w:tcBorders>
              <w:top w:val="single" w:sz="4" w:space="0" w:color="000000"/>
              <w:left w:val="single" w:sz="8" w:space="0" w:color="000000"/>
              <w:bottom w:val="single" w:sz="4" w:space="0" w:color="000000"/>
              <w:right w:val="single" w:sz="4" w:space="0" w:color="auto"/>
            </w:tcBorders>
            <w:vAlign w:val="center"/>
          </w:tcPr>
          <w:p w:rsidR="003E2CFB" w:rsidRDefault="004807BF">
            <w:pPr>
              <w:widowControl/>
              <w:snapToGrid w:val="0"/>
              <w:jc w:val="center"/>
              <w:textAlignment w:val="center"/>
              <w:rPr>
                <w:kern w:val="0"/>
                <w:sz w:val="18"/>
                <w:szCs w:val="18"/>
                <w:lang/>
              </w:rPr>
            </w:pPr>
            <w:r>
              <w:rPr>
                <w:kern w:val="0"/>
                <w:sz w:val="18"/>
                <w:szCs w:val="18"/>
                <w:lang/>
              </w:rPr>
              <w:t>6</w:t>
            </w:r>
          </w:p>
        </w:tc>
        <w:tc>
          <w:tcPr>
            <w:tcW w:w="1080" w:type="dxa"/>
            <w:vMerge/>
            <w:tcBorders>
              <w:top w:val="single" w:sz="4" w:space="0" w:color="auto"/>
              <w:left w:val="single" w:sz="4" w:space="0" w:color="auto"/>
              <w:bottom w:val="single" w:sz="4" w:space="0" w:color="auto"/>
              <w:right w:val="single" w:sz="4" w:space="0" w:color="auto"/>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auto"/>
              <w:left w:val="single" w:sz="4" w:space="0" w:color="auto"/>
              <w:bottom w:val="single" w:sz="4" w:space="0" w:color="auto"/>
              <w:right w:val="single" w:sz="4" w:space="0" w:color="auto"/>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1.6  </w:t>
            </w:r>
            <w:r>
              <w:rPr>
                <w:kern w:val="0"/>
                <w:sz w:val="18"/>
                <w:szCs w:val="18"/>
                <w:lang/>
              </w:rPr>
              <w:t>对生产现场使用的兽药、化学品、消毒剂、植保产品、饲料、生物杀灭剂、药物（含防疫品）和其他投入品等来源正规，有采购记录、使用记录，无禁用投入品。</w:t>
            </w:r>
          </w:p>
        </w:tc>
        <w:tc>
          <w:tcPr>
            <w:tcW w:w="1282" w:type="dxa"/>
            <w:tcBorders>
              <w:top w:val="single" w:sz="4" w:space="0" w:color="000000"/>
              <w:left w:val="single" w:sz="4" w:space="0" w:color="auto"/>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25</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sz w:val="18"/>
                <w:szCs w:val="18"/>
              </w:rPr>
              <w:t>7</w:t>
            </w:r>
          </w:p>
        </w:tc>
        <w:tc>
          <w:tcPr>
            <w:tcW w:w="1080" w:type="dxa"/>
            <w:vMerge w:val="restart"/>
            <w:tcBorders>
              <w:top w:val="single" w:sz="4" w:space="0" w:color="auto"/>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  </w:t>
            </w:r>
            <w:r>
              <w:rPr>
                <w:kern w:val="0"/>
                <w:sz w:val="18"/>
                <w:szCs w:val="18"/>
                <w:lang/>
              </w:rPr>
              <w:t>仓储现场</w:t>
            </w:r>
          </w:p>
        </w:tc>
        <w:tc>
          <w:tcPr>
            <w:tcW w:w="6085" w:type="dxa"/>
            <w:tcBorders>
              <w:top w:val="single" w:sz="4" w:space="0" w:color="auto"/>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2.1  </w:t>
            </w:r>
            <w:r>
              <w:rPr>
                <w:kern w:val="0"/>
                <w:sz w:val="18"/>
                <w:szCs w:val="18"/>
                <w:lang/>
              </w:rPr>
              <w:t>有明确的仓储环境控制要求，如温度、湿度等，需进行定期检查。</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sz w:val="18"/>
                <w:szCs w:val="18"/>
              </w:rPr>
              <w:t>8</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2.2  </w:t>
            </w:r>
            <w:r>
              <w:rPr>
                <w:kern w:val="0"/>
                <w:sz w:val="18"/>
                <w:szCs w:val="18"/>
                <w:lang/>
              </w:rPr>
              <w:t>保持出</w:t>
            </w:r>
            <w:proofErr w:type="gramStart"/>
            <w:r>
              <w:rPr>
                <w:kern w:val="0"/>
                <w:sz w:val="18"/>
                <w:szCs w:val="18"/>
                <w:lang/>
              </w:rPr>
              <w:t>入库台</w:t>
            </w:r>
            <w:proofErr w:type="gramEnd"/>
            <w:r>
              <w:rPr>
                <w:kern w:val="0"/>
                <w:sz w:val="18"/>
                <w:szCs w:val="18"/>
                <w:lang/>
              </w:rPr>
              <w:t>账，实施先进先出管理。对仓存品实施有效防护，包括防潮霉、防虫鼠、离地离墙堆放、限制堆高等。</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sz w:val="18"/>
                <w:szCs w:val="18"/>
              </w:rPr>
              <w:t>9</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2.3  </w:t>
            </w:r>
            <w:proofErr w:type="gramStart"/>
            <w:r>
              <w:rPr>
                <w:kern w:val="0"/>
                <w:sz w:val="18"/>
                <w:szCs w:val="18"/>
                <w:lang/>
              </w:rPr>
              <w:t>进出库能实现</w:t>
            </w:r>
            <w:proofErr w:type="gramEnd"/>
            <w:r>
              <w:rPr>
                <w:kern w:val="0"/>
                <w:sz w:val="18"/>
                <w:szCs w:val="18"/>
                <w:lang/>
              </w:rPr>
              <w:t>追溯，并有适当的标识</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r>
      <w:tr w:rsidR="003E2CFB">
        <w:trPr>
          <w:trHeight w:val="604"/>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10</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3  </w:t>
            </w:r>
            <w:r>
              <w:rPr>
                <w:kern w:val="0"/>
                <w:sz w:val="18"/>
                <w:szCs w:val="18"/>
                <w:lang/>
              </w:rPr>
              <w:t>检验现场</w:t>
            </w: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3.1  </w:t>
            </w:r>
            <w:r>
              <w:rPr>
                <w:kern w:val="0"/>
                <w:sz w:val="18"/>
                <w:szCs w:val="18"/>
                <w:lang/>
              </w:rPr>
              <w:t>检验场所整洁，检验设备齐全、校准合格，检验人员持证上岗，检验记录完整</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r>
      <w:tr w:rsidR="003E2CFB">
        <w:trPr>
          <w:jc w:val="center"/>
        </w:trPr>
        <w:tc>
          <w:tcPr>
            <w:tcW w:w="705" w:type="dxa"/>
            <w:tcBorders>
              <w:top w:val="single" w:sz="4" w:space="0" w:color="000000"/>
              <w:left w:val="single" w:sz="8" w:space="0" w:color="000000"/>
              <w:bottom w:val="single" w:sz="4" w:space="0" w:color="000000"/>
              <w:right w:val="single" w:sz="4" w:space="0" w:color="000000"/>
            </w:tcBorders>
            <w:vAlign w:val="center"/>
          </w:tcPr>
          <w:p w:rsidR="003E2CFB" w:rsidRDefault="004807BF">
            <w:pPr>
              <w:widowControl/>
              <w:snapToGrid w:val="0"/>
              <w:jc w:val="center"/>
              <w:textAlignment w:val="center"/>
              <w:rPr>
                <w:sz w:val="18"/>
                <w:szCs w:val="18"/>
              </w:rPr>
            </w:pPr>
            <w:r>
              <w:rPr>
                <w:kern w:val="0"/>
                <w:sz w:val="18"/>
                <w:szCs w:val="18"/>
                <w:lang/>
              </w:rPr>
              <w:t>11</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E2CFB" w:rsidRDefault="003E2CFB">
            <w:pPr>
              <w:widowControl/>
              <w:snapToGrid w:val="0"/>
              <w:jc w:val="left"/>
              <w:textAlignment w:val="center"/>
              <w:rPr>
                <w:kern w:val="0"/>
                <w:sz w:val="18"/>
                <w:szCs w:val="18"/>
                <w:lang/>
              </w:rPr>
            </w:pPr>
          </w:p>
        </w:tc>
        <w:tc>
          <w:tcPr>
            <w:tcW w:w="6085" w:type="dxa"/>
            <w:tcBorders>
              <w:top w:val="single" w:sz="4" w:space="0" w:color="000000"/>
              <w:left w:val="single" w:sz="4" w:space="0" w:color="000000"/>
              <w:bottom w:val="single" w:sz="4" w:space="0" w:color="000000"/>
              <w:right w:val="single" w:sz="4" w:space="0" w:color="000000"/>
            </w:tcBorders>
            <w:vAlign w:val="center"/>
          </w:tcPr>
          <w:p w:rsidR="003E2CFB" w:rsidRDefault="004807BF">
            <w:pPr>
              <w:widowControl/>
              <w:snapToGrid w:val="0"/>
              <w:jc w:val="left"/>
              <w:textAlignment w:val="center"/>
              <w:rPr>
                <w:kern w:val="0"/>
                <w:sz w:val="18"/>
                <w:szCs w:val="18"/>
                <w:lang/>
              </w:rPr>
            </w:pPr>
            <w:r>
              <w:rPr>
                <w:kern w:val="0"/>
                <w:sz w:val="18"/>
                <w:szCs w:val="18"/>
                <w:lang/>
              </w:rPr>
              <w:t xml:space="preserve">3.2  </w:t>
            </w:r>
            <w:r>
              <w:rPr>
                <w:kern w:val="0"/>
                <w:sz w:val="18"/>
                <w:szCs w:val="18"/>
                <w:lang/>
              </w:rPr>
              <w:t>保留产品检验实施中发生的不合格品记录，记录应包括不合格品的描述、原因分析、改进措施等信息。</w:t>
            </w:r>
          </w:p>
        </w:tc>
        <w:tc>
          <w:tcPr>
            <w:tcW w:w="1282" w:type="dxa"/>
            <w:tcBorders>
              <w:top w:val="single" w:sz="4" w:space="0" w:color="000000"/>
              <w:left w:val="single" w:sz="4" w:space="0" w:color="000000"/>
              <w:bottom w:val="single" w:sz="4" w:space="0" w:color="000000"/>
              <w:right w:val="single" w:sz="8" w:space="0" w:color="000000"/>
            </w:tcBorders>
            <w:vAlign w:val="center"/>
          </w:tcPr>
          <w:p w:rsidR="003E2CFB" w:rsidRDefault="004807BF">
            <w:pPr>
              <w:widowControl/>
              <w:snapToGrid w:val="0"/>
              <w:jc w:val="center"/>
              <w:textAlignment w:val="center"/>
              <w:rPr>
                <w:kern w:val="0"/>
                <w:sz w:val="18"/>
                <w:szCs w:val="18"/>
                <w:lang/>
              </w:rPr>
            </w:pPr>
            <w:r>
              <w:rPr>
                <w:kern w:val="0"/>
                <w:sz w:val="18"/>
                <w:szCs w:val="18"/>
                <w:lang/>
              </w:rPr>
              <w:t>10</w:t>
            </w:r>
          </w:p>
        </w:tc>
      </w:tr>
      <w:tr w:rsidR="003E2CFB">
        <w:trPr>
          <w:trHeight w:val="512"/>
          <w:jc w:val="center"/>
        </w:trPr>
        <w:tc>
          <w:tcPr>
            <w:tcW w:w="7870" w:type="dxa"/>
            <w:gridSpan w:val="3"/>
            <w:tcBorders>
              <w:top w:val="single" w:sz="4" w:space="0" w:color="000000"/>
              <w:left w:val="single" w:sz="8" w:space="0" w:color="000000"/>
              <w:bottom w:val="single" w:sz="8" w:space="0" w:color="000000"/>
              <w:right w:val="single" w:sz="4"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合计</w:t>
            </w:r>
          </w:p>
        </w:tc>
        <w:tc>
          <w:tcPr>
            <w:tcW w:w="1282" w:type="dxa"/>
            <w:tcBorders>
              <w:top w:val="single" w:sz="4" w:space="0" w:color="000000"/>
              <w:left w:val="single" w:sz="4" w:space="0" w:color="000000"/>
              <w:bottom w:val="single" w:sz="8" w:space="0" w:color="000000"/>
              <w:right w:val="single" w:sz="8" w:space="0" w:color="000000"/>
            </w:tcBorders>
            <w:vAlign w:val="center"/>
          </w:tcPr>
          <w:p w:rsidR="003E2CFB" w:rsidRDefault="004807BF">
            <w:pPr>
              <w:widowControl/>
              <w:snapToGrid w:val="0"/>
              <w:jc w:val="center"/>
              <w:textAlignment w:val="center"/>
              <w:rPr>
                <w:rFonts w:eastAsia="黑体"/>
                <w:kern w:val="0"/>
                <w:sz w:val="18"/>
                <w:szCs w:val="18"/>
                <w:lang/>
              </w:rPr>
            </w:pPr>
            <w:r>
              <w:rPr>
                <w:rFonts w:eastAsia="黑体"/>
                <w:kern w:val="0"/>
                <w:sz w:val="18"/>
                <w:szCs w:val="18"/>
                <w:lang/>
              </w:rPr>
              <w:t>200</w:t>
            </w:r>
          </w:p>
        </w:tc>
      </w:tr>
    </w:tbl>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p w:rsidR="003E2CFB" w:rsidRDefault="003E2CFB">
      <w:pPr>
        <w:pStyle w:val="affffff9"/>
        <w:framePr w:hSpace="0" w:vSpace="0" w:wrap="auto" w:vAnchor="margin" w:hAnchor="text" w:xAlign="left" w:yAlign="inline"/>
      </w:pPr>
    </w:p>
    <w:sectPr w:rsidR="003E2CFB" w:rsidSect="003E2CFB">
      <w:headerReference w:type="even" r:id="rId9"/>
      <w:footerReference w:type="even" r:id="rId10"/>
      <w:footerReference w:type="default" r:id="rId11"/>
      <w:headerReference w:type="first" r:id="rId12"/>
      <w:pgSz w:w="11906" w:h="16838"/>
      <w:pgMar w:top="567" w:right="1134" w:bottom="1134" w:left="1417" w:header="1418" w:footer="1134" w:gutter="0"/>
      <w:pgNumType w:fmt="numberInDash" w:start="1"/>
      <w:cols w:space="720"/>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BF" w:rsidRDefault="004807BF" w:rsidP="003E2CFB">
      <w:r>
        <w:separator/>
      </w:r>
    </w:p>
  </w:endnote>
  <w:endnote w:type="continuationSeparator" w:id="0">
    <w:p w:rsidR="004807BF" w:rsidRDefault="004807BF" w:rsidP="003E2CF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FB" w:rsidRDefault="003E2CFB">
    <w:pPr>
      <w:pStyle w:val="affff0"/>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filled="f" stroked="f" strokeweight=".5pt">
          <v:textbox style="mso-fit-shape-to-text:t" inset="0,0,0,0">
            <w:txbxContent>
              <w:p w:rsidR="003E2CFB" w:rsidRDefault="003E2CFB">
                <w:pPr>
                  <w:pStyle w:val="affff0"/>
                </w:pPr>
                <w:r>
                  <w:fldChar w:fldCharType="begin"/>
                </w:r>
                <w:r w:rsidR="004807BF">
                  <w:instrText xml:space="preserve"> PAGE  \* MERGEFORMAT </w:instrText>
                </w:r>
                <w:r>
                  <w:fldChar w:fldCharType="separate"/>
                </w:r>
                <w:r w:rsidR="004807BF">
                  <w:t>6</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FB" w:rsidRDefault="003E2CFB">
    <w:pPr>
      <w:pStyle w:val="afff8"/>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filled="f" stroked="f" strokeweight=".5pt">
          <v:textbox style="mso-fit-shape-to-text:t" inset="0,0,0,0">
            <w:txbxContent>
              <w:p w:rsidR="003E2CFB" w:rsidRDefault="003E2CFB">
                <w:pPr>
                  <w:pStyle w:val="afff8"/>
                </w:pPr>
                <w:r>
                  <w:fldChar w:fldCharType="begin"/>
                </w:r>
                <w:r w:rsidR="004807BF">
                  <w:instrText xml:space="preserve"> PAGE  \* MERGEFORMAT </w:instrText>
                </w:r>
                <w:r>
                  <w:fldChar w:fldCharType="separate"/>
                </w:r>
                <w:r w:rsidR="00847364">
                  <w:rPr>
                    <w:noProof/>
                  </w:rPr>
                  <w:t>- 8 -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BF" w:rsidRDefault="004807BF" w:rsidP="003E2CFB">
      <w:r>
        <w:separator/>
      </w:r>
    </w:p>
  </w:footnote>
  <w:footnote w:type="continuationSeparator" w:id="0">
    <w:p w:rsidR="004807BF" w:rsidRDefault="004807BF" w:rsidP="003E2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FB" w:rsidRDefault="003E2CFB">
    <w:pPr>
      <w:pStyle w:val="a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FB" w:rsidRDefault="004807BF">
    <w:pPr>
      <w:pStyle w:val="affd"/>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FC91163"/>
    <w:multiLevelType w:val="multilevel"/>
    <w:tmpl w:val="1FC91163"/>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9">
    <w:nsid w:val="557C2AF5"/>
    <w:multiLevelType w:val="multilevel"/>
    <w:tmpl w:val="557C2AF5"/>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1">
    <w:nsid w:val="60C645B3"/>
    <w:multiLevelType w:val="multilevel"/>
    <w:tmpl w:val="60C645B3"/>
    <w:lvl w:ilvl="0">
      <w:start w:val="1"/>
      <w:numFmt w:val="lowerLetter"/>
      <w:pStyle w:val="af3"/>
      <w:lvlText w:val="%1)"/>
      <w:lvlJc w:val="left"/>
      <w:pPr>
        <w:tabs>
          <w:tab w:val="left" w:pos="840"/>
        </w:tabs>
        <w:ind w:left="839" w:hanging="419"/>
      </w:pPr>
      <w:rPr>
        <w:rFonts w:ascii="宋体" w:eastAsia="宋体" w:hint="eastAsia"/>
        <w:b w:val="0"/>
        <w:i w:val="0"/>
        <w:sz w:val="21"/>
        <w:szCs w:val="21"/>
      </w:rPr>
    </w:lvl>
    <w:lvl w:ilvl="1">
      <w:start w:val="1"/>
      <w:numFmt w:val="decimal"/>
      <w:pStyle w:val="af4"/>
      <w:lvlText w:val="%2)"/>
      <w:lvlJc w:val="left"/>
      <w:pPr>
        <w:tabs>
          <w:tab w:val="left" w:pos="1260"/>
        </w:tabs>
        <w:ind w:left="1259" w:hanging="419"/>
      </w:pPr>
      <w:rPr>
        <w:rFonts w:hint="eastAsia"/>
      </w:rPr>
    </w:lvl>
    <w:lvl w:ilvl="2">
      <w:start w:val="1"/>
      <w:numFmt w:val="decimal"/>
      <w:pStyle w:val="af5"/>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6">
    <w:nsid w:val="7760749B"/>
    <w:multiLevelType w:val="multilevel"/>
    <w:tmpl w:val="7760749B"/>
    <w:lvl w:ilvl="0">
      <w:start w:val="1"/>
      <w:numFmt w:val="decimal"/>
      <w:pStyle w:val="aff1"/>
      <w:suff w:val="nothing"/>
      <w:lvlText w:val="注%1："/>
      <w:lvlJc w:val="left"/>
      <w:pPr>
        <w:ind w:left="811" w:hanging="448"/>
      </w:pPr>
      <w:rPr>
        <w:rFonts w:eastAsia="黑体" w:hAnsi="黑体"/>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num w:numId="1">
    <w:abstractNumId w:val="7"/>
  </w:num>
  <w:num w:numId="2">
    <w:abstractNumId w:val="4"/>
  </w:num>
  <w:num w:numId="3">
    <w:abstractNumId w:val="6"/>
  </w:num>
  <w:num w:numId="4">
    <w:abstractNumId w:val="2"/>
  </w:num>
  <w:num w:numId="5">
    <w:abstractNumId w:val="11"/>
  </w:num>
  <w:num w:numId="6">
    <w:abstractNumId w:val="15"/>
  </w:num>
  <w:num w:numId="7">
    <w:abstractNumId w:val="0"/>
  </w:num>
  <w:num w:numId="8">
    <w:abstractNumId w:val="8"/>
  </w:num>
  <w:num w:numId="9">
    <w:abstractNumId w:val="16"/>
  </w:num>
  <w:num w:numId="10">
    <w:abstractNumId w:val="13"/>
  </w:num>
  <w:num w:numId="11">
    <w:abstractNumId w:val="10"/>
  </w:num>
  <w:num w:numId="12">
    <w:abstractNumId w:val="14"/>
  </w:num>
  <w:num w:numId="13">
    <w:abstractNumId w:val="5"/>
  </w:num>
  <w:num w:numId="14">
    <w:abstractNumId w:val="1"/>
  </w:num>
  <w:num w:numId="15">
    <w:abstractNumId w:val="3"/>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docVars>
    <w:docVar w:name="commondata" w:val="eyJoZGlkIjoiNzc4OTc0Y2EyNThiYTlhMmY4ODlkYWZmNTMzY2UyMWUifQ=="/>
  </w:docVars>
  <w:rsids>
    <w:rsidRoot w:val="5BEC375B"/>
    <w:rsid w:val="9665AD70"/>
    <w:rsid w:val="9BF99D0D"/>
    <w:rsid w:val="AEFFD256"/>
    <w:rsid w:val="B6CFC3E4"/>
    <w:rsid w:val="B77B391B"/>
    <w:rsid w:val="BAEFDA89"/>
    <w:rsid w:val="BFB9E8C5"/>
    <w:rsid w:val="BFC677A8"/>
    <w:rsid w:val="C5FD5433"/>
    <w:rsid w:val="CDEEB337"/>
    <w:rsid w:val="CFAFD2AC"/>
    <w:rsid w:val="CFB70632"/>
    <w:rsid w:val="DAF62E7B"/>
    <w:rsid w:val="DFFE1993"/>
    <w:rsid w:val="E97D62B6"/>
    <w:rsid w:val="EC9FF010"/>
    <w:rsid w:val="EEFFA308"/>
    <w:rsid w:val="EF979628"/>
    <w:rsid w:val="EFD9240B"/>
    <w:rsid w:val="EFFF47F1"/>
    <w:rsid w:val="F1FFF59C"/>
    <w:rsid w:val="F2FF5086"/>
    <w:rsid w:val="F9C70A92"/>
    <w:rsid w:val="F9F6E86B"/>
    <w:rsid w:val="FC87BFE9"/>
    <w:rsid w:val="FEBBBAFD"/>
    <w:rsid w:val="FEF74B36"/>
    <w:rsid w:val="FF7DB8CB"/>
    <w:rsid w:val="FF7F1EEF"/>
    <w:rsid w:val="FF7F769E"/>
    <w:rsid w:val="FFBCADC2"/>
    <w:rsid w:val="FFBFA684"/>
    <w:rsid w:val="FFDFB728"/>
    <w:rsid w:val="00000244"/>
    <w:rsid w:val="0000185F"/>
    <w:rsid w:val="0000586F"/>
    <w:rsid w:val="00013D86"/>
    <w:rsid w:val="00013E02"/>
    <w:rsid w:val="0002143C"/>
    <w:rsid w:val="00025A65"/>
    <w:rsid w:val="00026C31"/>
    <w:rsid w:val="00027280"/>
    <w:rsid w:val="00027321"/>
    <w:rsid w:val="000320A7"/>
    <w:rsid w:val="00034E5D"/>
    <w:rsid w:val="00035925"/>
    <w:rsid w:val="0006023F"/>
    <w:rsid w:val="00067CDF"/>
    <w:rsid w:val="00072763"/>
    <w:rsid w:val="00074FBE"/>
    <w:rsid w:val="00083A09"/>
    <w:rsid w:val="00083E6A"/>
    <w:rsid w:val="0009005E"/>
    <w:rsid w:val="00092857"/>
    <w:rsid w:val="0009420B"/>
    <w:rsid w:val="000A20A9"/>
    <w:rsid w:val="000A3132"/>
    <w:rsid w:val="000A48B1"/>
    <w:rsid w:val="000B3143"/>
    <w:rsid w:val="000C584A"/>
    <w:rsid w:val="000C6B05"/>
    <w:rsid w:val="000C6DD6"/>
    <w:rsid w:val="000C73D4"/>
    <w:rsid w:val="000D3D4C"/>
    <w:rsid w:val="000D3D8A"/>
    <w:rsid w:val="000D4F51"/>
    <w:rsid w:val="000D718B"/>
    <w:rsid w:val="000E0C46"/>
    <w:rsid w:val="000E31EC"/>
    <w:rsid w:val="000F030C"/>
    <w:rsid w:val="000F129C"/>
    <w:rsid w:val="000F4BD7"/>
    <w:rsid w:val="001056DE"/>
    <w:rsid w:val="001124C0"/>
    <w:rsid w:val="00124454"/>
    <w:rsid w:val="0013175F"/>
    <w:rsid w:val="001512B4"/>
    <w:rsid w:val="001544B1"/>
    <w:rsid w:val="00161376"/>
    <w:rsid w:val="001620A5"/>
    <w:rsid w:val="00164E53"/>
    <w:rsid w:val="0016699D"/>
    <w:rsid w:val="00175159"/>
    <w:rsid w:val="00176208"/>
    <w:rsid w:val="0018211B"/>
    <w:rsid w:val="001840D3"/>
    <w:rsid w:val="001900F8"/>
    <w:rsid w:val="00191258"/>
    <w:rsid w:val="00192680"/>
    <w:rsid w:val="00193037"/>
    <w:rsid w:val="00193A2C"/>
    <w:rsid w:val="00197E1A"/>
    <w:rsid w:val="001A2840"/>
    <w:rsid w:val="001A288E"/>
    <w:rsid w:val="001A6EA0"/>
    <w:rsid w:val="001B5A4E"/>
    <w:rsid w:val="001B6DC2"/>
    <w:rsid w:val="001C149C"/>
    <w:rsid w:val="001C21AC"/>
    <w:rsid w:val="001C47BA"/>
    <w:rsid w:val="001C59EA"/>
    <w:rsid w:val="001D406C"/>
    <w:rsid w:val="001D41EE"/>
    <w:rsid w:val="001D4A9D"/>
    <w:rsid w:val="001D4D7A"/>
    <w:rsid w:val="001E0380"/>
    <w:rsid w:val="001E13B1"/>
    <w:rsid w:val="001E33EA"/>
    <w:rsid w:val="001E4D45"/>
    <w:rsid w:val="001E7FF9"/>
    <w:rsid w:val="001F3A19"/>
    <w:rsid w:val="00224203"/>
    <w:rsid w:val="00234467"/>
    <w:rsid w:val="002373F4"/>
    <w:rsid w:val="00237D8D"/>
    <w:rsid w:val="00241DA2"/>
    <w:rsid w:val="00247FEE"/>
    <w:rsid w:val="00250E7D"/>
    <w:rsid w:val="002565D5"/>
    <w:rsid w:val="002622C0"/>
    <w:rsid w:val="002778AE"/>
    <w:rsid w:val="00280EBA"/>
    <w:rsid w:val="00281AF8"/>
    <w:rsid w:val="0028269A"/>
    <w:rsid w:val="00283590"/>
    <w:rsid w:val="00286973"/>
    <w:rsid w:val="00292D2B"/>
    <w:rsid w:val="00294E70"/>
    <w:rsid w:val="002A1924"/>
    <w:rsid w:val="002A4957"/>
    <w:rsid w:val="002A7420"/>
    <w:rsid w:val="002A77D0"/>
    <w:rsid w:val="002B0F12"/>
    <w:rsid w:val="002B1308"/>
    <w:rsid w:val="002B4554"/>
    <w:rsid w:val="002C68DC"/>
    <w:rsid w:val="002C72D8"/>
    <w:rsid w:val="002D11FA"/>
    <w:rsid w:val="002E0DDF"/>
    <w:rsid w:val="002E2906"/>
    <w:rsid w:val="002E5635"/>
    <w:rsid w:val="002E64C3"/>
    <w:rsid w:val="002E6A2C"/>
    <w:rsid w:val="002F1D8C"/>
    <w:rsid w:val="002F21DA"/>
    <w:rsid w:val="002F5718"/>
    <w:rsid w:val="00301E10"/>
    <w:rsid w:val="00301F39"/>
    <w:rsid w:val="003169CB"/>
    <w:rsid w:val="00317141"/>
    <w:rsid w:val="00325926"/>
    <w:rsid w:val="00327A8A"/>
    <w:rsid w:val="00336610"/>
    <w:rsid w:val="0034121F"/>
    <w:rsid w:val="00343F73"/>
    <w:rsid w:val="00345060"/>
    <w:rsid w:val="0035323B"/>
    <w:rsid w:val="003609D2"/>
    <w:rsid w:val="00361689"/>
    <w:rsid w:val="00363F22"/>
    <w:rsid w:val="003652D3"/>
    <w:rsid w:val="00374855"/>
    <w:rsid w:val="00375564"/>
    <w:rsid w:val="00381063"/>
    <w:rsid w:val="00383191"/>
    <w:rsid w:val="003860D2"/>
    <w:rsid w:val="00386DED"/>
    <w:rsid w:val="003912E7"/>
    <w:rsid w:val="00393947"/>
    <w:rsid w:val="003A2275"/>
    <w:rsid w:val="003A6A4F"/>
    <w:rsid w:val="003A7088"/>
    <w:rsid w:val="003B00DF"/>
    <w:rsid w:val="003B1275"/>
    <w:rsid w:val="003B1778"/>
    <w:rsid w:val="003C11CB"/>
    <w:rsid w:val="003C75F3"/>
    <w:rsid w:val="003C78A3"/>
    <w:rsid w:val="003E1867"/>
    <w:rsid w:val="003E2CFB"/>
    <w:rsid w:val="003E44ED"/>
    <w:rsid w:val="003E5729"/>
    <w:rsid w:val="003F01A0"/>
    <w:rsid w:val="003F4EE0"/>
    <w:rsid w:val="00402153"/>
    <w:rsid w:val="00402FC1"/>
    <w:rsid w:val="00414F2A"/>
    <w:rsid w:val="00425082"/>
    <w:rsid w:val="00431DEB"/>
    <w:rsid w:val="00446B29"/>
    <w:rsid w:val="00453F9A"/>
    <w:rsid w:val="00471E91"/>
    <w:rsid w:val="00474675"/>
    <w:rsid w:val="0047470C"/>
    <w:rsid w:val="004807BF"/>
    <w:rsid w:val="00485B09"/>
    <w:rsid w:val="00497D19"/>
    <w:rsid w:val="004A318F"/>
    <w:rsid w:val="004A35F9"/>
    <w:rsid w:val="004B24C1"/>
    <w:rsid w:val="004C292F"/>
    <w:rsid w:val="00505638"/>
    <w:rsid w:val="00510280"/>
    <w:rsid w:val="00513D73"/>
    <w:rsid w:val="00514A43"/>
    <w:rsid w:val="00514F6D"/>
    <w:rsid w:val="005174E5"/>
    <w:rsid w:val="00521B05"/>
    <w:rsid w:val="00522393"/>
    <w:rsid w:val="00522620"/>
    <w:rsid w:val="005226D0"/>
    <w:rsid w:val="00522FA3"/>
    <w:rsid w:val="00525656"/>
    <w:rsid w:val="005317BE"/>
    <w:rsid w:val="00534C02"/>
    <w:rsid w:val="0054264B"/>
    <w:rsid w:val="00543786"/>
    <w:rsid w:val="005533D7"/>
    <w:rsid w:val="00562EC0"/>
    <w:rsid w:val="005703DE"/>
    <w:rsid w:val="0058464E"/>
    <w:rsid w:val="0058475D"/>
    <w:rsid w:val="005937B1"/>
    <w:rsid w:val="00596235"/>
    <w:rsid w:val="005A01CB"/>
    <w:rsid w:val="005A2088"/>
    <w:rsid w:val="005A58FF"/>
    <w:rsid w:val="005A5EAF"/>
    <w:rsid w:val="005A64C0"/>
    <w:rsid w:val="005B1ABB"/>
    <w:rsid w:val="005B3C11"/>
    <w:rsid w:val="005C1C28"/>
    <w:rsid w:val="005C6DB5"/>
    <w:rsid w:val="005E19E7"/>
    <w:rsid w:val="005F2072"/>
    <w:rsid w:val="00606312"/>
    <w:rsid w:val="00615EB9"/>
    <w:rsid w:val="0061716C"/>
    <w:rsid w:val="006243A1"/>
    <w:rsid w:val="0063269F"/>
    <w:rsid w:val="00632E56"/>
    <w:rsid w:val="00635CBA"/>
    <w:rsid w:val="0064338B"/>
    <w:rsid w:val="00646542"/>
    <w:rsid w:val="006472E6"/>
    <w:rsid w:val="006504F4"/>
    <w:rsid w:val="00654BC9"/>
    <w:rsid w:val="006552FD"/>
    <w:rsid w:val="00663AF3"/>
    <w:rsid w:val="00666B6C"/>
    <w:rsid w:val="00682682"/>
    <w:rsid w:val="00682702"/>
    <w:rsid w:val="006864A9"/>
    <w:rsid w:val="00692368"/>
    <w:rsid w:val="006A2EBC"/>
    <w:rsid w:val="006A5EA0"/>
    <w:rsid w:val="006A783B"/>
    <w:rsid w:val="006A7B33"/>
    <w:rsid w:val="006B4E13"/>
    <w:rsid w:val="006B75DD"/>
    <w:rsid w:val="006C67E0"/>
    <w:rsid w:val="006C7ABA"/>
    <w:rsid w:val="006D0130"/>
    <w:rsid w:val="006D0D60"/>
    <w:rsid w:val="006D1122"/>
    <w:rsid w:val="006D3C00"/>
    <w:rsid w:val="006E3675"/>
    <w:rsid w:val="006E4A7F"/>
    <w:rsid w:val="006F3EB7"/>
    <w:rsid w:val="006F6177"/>
    <w:rsid w:val="00704DF6"/>
    <w:rsid w:val="0070651C"/>
    <w:rsid w:val="007132A3"/>
    <w:rsid w:val="00716421"/>
    <w:rsid w:val="00723BB3"/>
    <w:rsid w:val="00724EFB"/>
    <w:rsid w:val="007371CA"/>
    <w:rsid w:val="007419C3"/>
    <w:rsid w:val="007467A7"/>
    <w:rsid w:val="007469DD"/>
    <w:rsid w:val="0074741B"/>
    <w:rsid w:val="0074759E"/>
    <w:rsid w:val="007478EA"/>
    <w:rsid w:val="0075415C"/>
    <w:rsid w:val="00763502"/>
    <w:rsid w:val="00770317"/>
    <w:rsid w:val="0077555A"/>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19E4"/>
    <w:rsid w:val="0080654C"/>
    <w:rsid w:val="008071C6"/>
    <w:rsid w:val="00812FE8"/>
    <w:rsid w:val="008155C9"/>
    <w:rsid w:val="00817A00"/>
    <w:rsid w:val="008302E5"/>
    <w:rsid w:val="00835DB3"/>
    <w:rsid w:val="0083617B"/>
    <w:rsid w:val="008371BD"/>
    <w:rsid w:val="00843240"/>
    <w:rsid w:val="00843EB5"/>
    <w:rsid w:val="00847364"/>
    <w:rsid w:val="008504A8"/>
    <w:rsid w:val="0085282E"/>
    <w:rsid w:val="00853A56"/>
    <w:rsid w:val="0087198C"/>
    <w:rsid w:val="00872C1F"/>
    <w:rsid w:val="00873B42"/>
    <w:rsid w:val="008856D8"/>
    <w:rsid w:val="00892E82"/>
    <w:rsid w:val="008C1B58"/>
    <w:rsid w:val="008C39AE"/>
    <w:rsid w:val="008C590D"/>
    <w:rsid w:val="008E031B"/>
    <w:rsid w:val="008E04A6"/>
    <w:rsid w:val="008E7029"/>
    <w:rsid w:val="008E7EF6"/>
    <w:rsid w:val="008F1F98"/>
    <w:rsid w:val="008F6758"/>
    <w:rsid w:val="009040DD"/>
    <w:rsid w:val="00905B47"/>
    <w:rsid w:val="0091331C"/>
    <w:rsid w:val="009279DE"/>
    <w:rsid w:val="00930116"/>
    <w:rsid w:val="0094212C"/>
    <w:rsid w:val="00942954"/>
    <w:rsid w:val="00954689"/>
    <w:rsid w:val="009617C9"/>
    <w:rsid w:val="00961C93"/>
    <w:rsid w:val="00965324"/>
    <w:rsid w:val="0097091E"/>
    <w:rsid w:val="009760D3"/>
    <w:rsid w:val="00977132"/>
    <w:rsid w:val="00981A4B"/>
    <w:rsid w:val="00982501"/>
    <w:rsid w:val="009877D3"/>
    <w:rsid w:val="00994E8F"/>
    <w:rsid w:val="009951DC"/>
    <w:rsid w:val="009959BB"/>
    <w:rsid w:val="0099630E"/>
    <w:rsid w:val="00997158"/>
    <w:rsid w:val="009A3A7C"/>
    <w:rsid w:val="009A3C24"/>
    <w:rsid w:val="009B2ADB"/>
    <w:rsid w:val="009B3039"/>
    <w:rsid w:val="009B603A"/>
    <w:rsid w:val="009C2D0E"/>
    <w:rsid w:val="009C3DAC"/>
    <w:rsid w:val="009C42E0"/>
    <w:rsid w:val="009D517C"/>
    <w:rsid w:val="009D5362"/>
    <w:rsid w:val="009E1415"/>
    <w:rsid w:val="009E6116"/>
    <w:rsid w:val="00A02E43"/>
    <w:rsid w:val="00A065F9"/>
    <w:rsid w:val="00A07F34"/>
    <w:rsid w:val="00A22154"/>
    <w:rsid w:val="00A22FD6"/>
    <w:rsid w:val="00A25C38"/>
    <w:rsid w:val="00A36BBE"/>
    <w:rsid w:val="00A4307A"/>
    <w:rsid w:val="00A47EBB"/>
    <w:rsid w:val="00A51CDD"/>
    <w:rsid w:val="00A6730D"/>
    <w:rsid w:val="00A71625"/>
    <w:rsid w:val="00A71B9B"/>
    <w:rsid w:val="00A751C7"/>
    <w:rsid w:val="00A87844"/>
    <w:rsid w:val="00A910A6"/>
    <w:rsid w:val="00AA038C"/>
    <w:rsid w:val="00AA7A09"/>
    <w:rsid w:val="00AB3B50"/>
    <w:rsid w:val="00AB4432"/>
    <w:rsid w:val="00AC05B1"/>
    <w:rsid w:val="00AD356C"/>
    <w:rsid w:val="00AE0E7E"/>
    <w:rsid w:val="00AE2914"/>
    <w:rsid w:val="00AE6D15"/>
    <w:rsid w:val="00AF1D32"/>
    <w:rsid w:val="00AF4625"/>
    <w:rsid w:val="00B04182"/>
    <w:rsid w:val="00B07AE3"/>
    <w:rsid w:val="00B11430"/>
    <w:rsid w:val="00B353EB"/>
    <w:rsid w:val="00B439C4"/>
    <w:rsid w:val="00B43CA5"/>
    <w:rsid w:val="00B4535E"/>
    <w:rsid w:val="00B52A8C"/>
    <w:rsid w:val="00B535AB"/>
    <w:rsid w:val="00B60FDA"/>
    <w:rsid w:val="00B636A8"/>
    <w:rsid w:val="00B665C6"/>
    <w:rsid w:val="00B741E0"/>
    <w:rsid w:val="00B749EC"/>
    <w:rsid w:val="00B805AF"/>
    <w:rsid w:val="00B869EC"/>
    <w:rsid w:val="00B9397A"/>
    <w:rsid w:val="00B9633D"/>
    <w:rsid w:val="00BA2EBE"/>
    <w:rsid w:val="00BB0F28"/>
    <w:rsid w:val="00BB458A"/>
    <w:rsid w:val="00BD00D3"/>
    <w:rsid w:val="00BD1659"/>
    <w:rsid w:val="00BD3AA9"/>
    <w:rsid w:val="00BD4A18"/>
    <w:rsid w:val="00BD6DB2"/>
    <w:rsid w:val="00BE11CF"/>
    <w:rsid w:val="00BE1463"/>
    <w:rsid w:val="00BE21AB"/>
    <w:rsid w:val="00BE55CB"/>
    <w:rsid w:val="00BF617A"/>
    <w:rsid w:val="00C0379D"/>
    <w:rsid w:val="00C03931"/>
    <w:rsid w:val="00C05FE3"/>
    <w:rsid w:val="00C2136D"/>
    <w:rsid w:val="00C214EE"/>
    <w:rsid w:val="00C2204C"/>
    <w:rsid w:val="00C2314B"/>
    <w:rsid w:val="00C24971"/>
    <w:rsid w:val="00C26BE5"/>
    <w:rsid w:val="00C26E4D"/>
    <w:rsid w:val="00C27909"/>
    <w:rsid w:val="00C27B03"/>
    <w:rsid w:val="00C306E5"/>
    <w:rsid w:val="00C30732"/>
    <w:rsid w:val="00C314E1"/>
    <w:rsid w:val="00C34397"/>
    <w:rsid w:val="00C4095D"/>
    <w:rsid w:val="00C431D9"/>
    <w:rsid w:val="00C46107"/>
    <w:rsid w:val="00C601D2"/>
    <w:rsid w:val="00C60D2E"/>
    <w:rsid w:val="00C657AB"/>
    <w:rsid w:val="00C65BCC"/>
    <w:rsid w:val="00C66970"/>
    <w:rsid w:val="00C8691C"/>
    <w:rsid w:val="00C87B77"/>
    <w:rsid w:val="00CA168A"/>
    <w:rsid w:val="00CA357E"/>
    <w:rsid w:val="00CA44F9"/>
    <w:rsid w:val="00CA4A69"/>
    <w:rsid w:val="00CB29AA"/>
    <w:rsid w:val="00CC3E0C"/>
    <w:rsid w:val="00CC58D3"/>
    <w:rsid w:val="00CC784D"/>
    <w:rsid w:val="00CD2F8A"/>
    <w:rsid w:val="00CE4260"/>
    <w:rsid w:val="00D02C19"/>
    <w:rsid w:val="00D0337B"/>
    <w:rsid w:val="00D079B2"/>
    <w:rsid w:val="00D114E9"/>
    <w:rsid w:val="00D429C6"/>
    <w:rsid w:val="00D47748"/>
    <w:rsid w:val="00D47B43"/>
    <w:rsid w:val="00D52638"/>
    <w:rsid w:val="00D54CC3"/>
    <w:rsid w:val="00D6041A"/>
    <w:rsid w:val="00D633EB"/>
    <w:rsid w:val="00D71A65"/>
    <w:rsid w:val="00D82FF7"/>
    <w:rsid w:val="00D847FE"/>
    <w:rsid w:val="00D879C8"/>
    <w:rsid w:val="00D92BFD"/>
    <w:rsid w:val="00D964EA"/>
    <w:rsid w:val="00D966D0"/>
    <w:rsid w:val="00DA0C59"/>
    <w:rsid w:val="00DA3991"/>
    <w:rsid w:val="00DA69E1"/>
    <w:rsid w:val="00DB7E6C"/>
    <w:rsid w:val="00DD5A29"/>
    <w:rsid w:val="00DD5D9D"/>
    <w:rsid w:val="00DE35CB"/>
    <w:rsid w:val="00DF21E9"/>
    <w:rsid w:val="00E00F14"/>
    <w:rsid w:val="00E061DE"/>
    <w:rsid w:val="00E06386"/>
    <w:rsid w:val="00E16095"/>
    <w:rsid w:val="00E24EB4"/>
    <w:rsid w:val="00E320ED"/>
    <w:rsid w:val="00E33AFB"/>
    <w:rsid w:val="00E34218"/>
    <w:rsid w:val="00E44FF2"/>
    <w:rsid w:val="00E46282"/>
    <w:rsid w:val="00E5177C"/>
    <w:rsid w:val="00E5216E"/>
    <w:rsid w:val="00E7299F"/>
    <w:rsid w:val="00E82344"/>
    <w:rsid w:val="00E84C82"/>
    <w:rsid w:val="00E84D64"/>
    <w:rsid w:val="00E87408"/>
    <w:rsid w:val="00E914C4"/>
    <w:rsid w:val="00E934F5"/>
    <w:rsid w:val="00E96961"/>
    <w:rsid w:val="00E97089"/>
    <w:rsid w:val="00EA4C05"/>
    <w:rsid w:val="00EA72EC"/>
    <w:rsid w:val="00EB11CB"/>
    <w:rsid w:val="00EB275A"/>
    <w:rsid w:val="00EB786A"/>
    <w:rsid w:val="00EC1578"/>
    <w:rsid w:val="00EC1C72"/>
    <w:rsid w:val="00EC3CC9"/>
    <w:rsid w:val="00EC680A"/>
    <w:rsid w:val="00ED4F3E"/>
    <w:rsid w:val="00EE2BED"/>
    <w:rsid w:val="00EE374B"/>
    <w:rsid w:val="00EE7647"/>
    <w:rsid w:val="00EF0F7A"/>
    <w:rsid w:val="00F01450"/>
    <w:rsid w:val="00F11BB5"/>
    <w:rsid w:val="00F1417B"/>
    <w:rsid w:val="00F24EB0"/>
    <w:rsid w:val="00F31E50"/>
    <w:rsid w:val="00F34B99"/>
    <w:rsid w:val="00F46C6E"/>
    <w:rsid w:val="00F52DAB"/>
    <w:rsid w:val="00F543F0"/>
    <w:rsid w:val="00F56C67"/>
    <w:rsid w:val="00F616E8"/>
    <w:rsid w:val="00F61B02"/>
    <w:rsid w:val="00F76DC3"/>
    <w:rsid w:val="00F81D29"/>
    <w:rsid w:val="00F91C4D"/>
    <w:rsid w:val="00F92692"/>
    <w:rsid w:val="00F92FD9"/>
    <w:rsid w:val="00F934CF"/>
    <w:rsid w:val="00FA6684"/>
    <w:rsid w:val="00FA731E"/>
    <w:rsid w:val="00FB2B38"/>
    <w:rsid w:val="00FB7F27"/>
    <w:rsid w:val="00FC6358"/>
    <w:rsid w:val="00FD172D"/>
    <w:rsid w:val="00FD320D"/>
    <w:rsid w:val="00FE23DE"/>
    <w:rsid w:val="01B75BE1"/>
    <w:rsid w:val="04E35A1E"/>
    <w:rsid w:val="05D7137C"/>
    <w:rsid w:val="05DB353B"/>
    <w:rsid w:val="08965477"/>
    <w:rsid w:val="093A315F"/>
    <w:rsid w:val="0B1D561F"/>
    <w:rsid w:val="0C696FC1"/>
    <w:rsid w:val="13FD8BCB"/>
    <w:rsid w:val="142D25D1"/>
    <w:rsid w:val="150D2218"/>
    <w:rsid w:val="153E1C4C"/>
    <w:rsid w:val="17336B01"/>
    <w:rsid w:val="17442A24"/>
    <w:rsid w:val="176F11A3"/>
    <w:rsid w:val="17E560E0"/>
    <w:rsid w:val="18682D4D"/>
    <w:rsid w:val="1DCF707B"/>
    <w:rsid w:val="1EDF927E"/>
    <w:rsid w:val="1F9B5EE6"/>
    <w:rsid w:val="20DC7532"/>
    <w:rsid w:val="21503691"/>
    <w:rsid w:val="217C1B04"/>
    <w:rsid w:val="27BF8999"/>
    <w:rsid w:val="2C6A7322"/>
    <w:rsid w:val="2C712FE0"/>
    <w:rsid w:val="2C855108"/>
    <w:rsid w:val="2C922EEA"/>
    <w:rsid w:val="2F99263B"/>
    <w:rsid w:val="2FEF4B24"/>
    <w:rsid w:val="35F10A3B"/>
    <w:rsid w:val="36985DB9"/>
    <w:rsid w:val="37F1200C"/>
    <w:rsid w:val="39A93AB3"/>
    <w:rsid w:val="3B9C19CE"/>
    <w:rsid w:val="3BDC091A"/>
    <w:rsid w:val="3C7D4ABF"/>
    <w:rsid w:val="3DDF1E1C"/>
    <w:rsid w:val="3F9B70E3"/>
    <w:rsid w:val="3FCF4EBA"/>
    <w:rsid w:val="3FFFD04E"/>
    <w:rsid w:val="42496853"/>
    <w:rsid w:val="42791C54"/>
    <w:rsid w:val="428270C4"/>
    <w:rsid w:val="4284466C"/>
    <w:rsid w:val="440924CB"/>
    <w:rsid w:val="451F074E"/>
    <w:rsid w:val="45DD9BBA"/>
    <w:rsid w:val="49BB2729"/>
    <w:rsid w:val="4B8E08C3"/>
    <w:rsid w:val="4C60393C"/>
    <w:rsid w:val="4CD93F23"/>
    <w:rsid w:val="4DFEE98A"/>
    <w:rsid w:val="4F321D80"/>
    <w:rsid w:val="51DF13F8"/>
    <w:rsid w:val="537C0DD5"/>
    <w:rsid w:val="563B3DBF"/>
    <w:rsid w:val="56FE2FC7"/>
    <w:rsid w:val="57EEC692"/>
    <w:rsid w:val="582E2AED"/>
    <w:rsid w:val="594F07AA"/>
    <w:rsid w:val="5B171E93"/>
    <w:rsid w:val="5B9C6858"/>
    <w:rsid w:val="5B9F85AD"/>
    <w:rsid w:val="5BEC375B"/>
    <w:rsid w:val="5D6D33B1"/>
    <w:rsid w:val="5D9ED6E8"/>
    <w:rsid w:val="5DEEAED8"/>
    <w:rsid w:val="5EA21A12"/>
    <w:rsid w:val="5EFB843A"/>
    <w:rsid w:val="5FAD7A42"/>
    <w:rsid w:val="5FF780D2"/>
    <w:rsid w:val="608749BD"/>
    <w:rsid w:val="61297300"/>
    <w:rsid w:val="622B6EF8"/>
    <w:rsid w:val="65E621D9"/>
    <w:rsid w:val="67F91881"/>
    <w:rsid w:val="67FC08BD"/>
    <w:rsid w:val="6A3538FB"/>
    <w:rsid w:val="6B270921"/>
    <w:rsid w:val="6B561A74"/>
    <w:rsid w:val="6BDD3C18"/>
    <w:rsid w:val="6FAFA8A2"/>
    <w:rsid w:val="6FE60FA5"/>
    <w:rsid w:val="6FFE3751"/>
    <w:rsid w:val="73BD92F2"/>
    <w:rsid w:val="73FAA537"/>
    <w:rsid w:val="741B2C62"/>
    <w:rsid w:val="74E97204"/>
    <w:rsid w:val="752C2C08"/>
    <w:rsid w:val="7576262D"/>
    <w:rsid w:val="75A831F5"/>
    <w:rsid w:val="76EF5F37"/>
    <w:rsid w:val="77D35E3B"/>
    <w:rsid w:val="79580151"/>
    <w:rsid w:val="798B97BB"/>
    <w:rsid w:val="79FF2AE2"/>
    <w:rsid w:val="7A9D492F"/>
    <w:rsid w:val="7BD13C1E"/>
    <w:rsid w:val="7BEDE4D0"/>
    <w:rsid w:val="7CFCB2EB"/>
    <w:rsid w:val="7DE79F09"/>
    <w:rsid w:val="7DFF6635"/>
    <w:rsid w:val="7E3F69AF"/>
    <w:rsid w:val="7EFFAD95"/>
    <w:rsid w:val="7F735114"/>
    <w:rsid w:val="7F9B3143"/>
    <w:rsid w:val="7FF947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next w:val="aff3"/>
    <w:qFormat/>
    <w:rsid w:val="003E2CFB"/>
    <w:pPr>
      <w:widowControl w:val="0"/>
      <w:jc w:val="both"/>
    </w:pPr>
    <w:rPr>
      <w:kern w:val="2"/>
      <w:sz w:val="21"/>
      <w:szCs w:val="24"/>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3">
    <w:name w:val="Body Text"/>
    <w:basedOn w:val="aff2"/>
    <w:qFormat/>
    <w:rsid w:val="003E2CFB"/>
    <w:pPr>
      <w:spacing w:after="120"/>
    </w:pPr>
  </w:style>
  <w:style w:type="paragraph" w:styleId="7">
    <w:name w:val="toc 7"/>
    <w:basedOn w:val="aff2"/>
    <w:next w:val="aff2"/>
    <w:semiHidden/>
    <w:qFormat/>
    <w:rsid w:val="003E2CFB"/>
    <w:pPr>
      <w:tabs>
        <w:tab w:val="right" w:leader="dot" w:pos="9241"/>
      </w:tabs>
      <w:ind w:firstLineChars="500" w:firstLine="500"/>
      <w:jc w:val="left"/>
    </w:pPr>
    <w:rPr>
      <w:rFonts w:ascii="宋体"/>
      <w:szCs w:val="21"/>
    </w:rPr>
  </w:style>
  <w:style w:type="paragraph" w:styleId="8">
    <w:name w:val="index 8"/>
    <w:basedOn w:val="aff2"/>
    <w:next w:val="aff2"/>
    <w:qFormat/>
    <w:rsid w:val="003E2CFB"/>
    <w:pPr>
      <w:ind w:left="1680" w:hanging="210"/>
      <w:jc w:val="left"/>
    </w:pPr>
    <w:rPr>
      <w:rFonts w:ascii="Calibri" w:hAnsi="Calibri"/>
      <w:sz w:val="20"/>
      <w:szCs w:val="20"/>
    </w:rPr>
  </w:style>
  <w:style w:type="paragraph" w:styleId="aff7">
    <w:name w:val="caption"/>
    <w:basedOn w:val="aff2"/>
    <w:next w:val="aff2"/>
    <w:qFormat/>
    <w:rsid w:val="003E2CFB"/>
    <w:pPr>
      <w:spacing w:before="152" w:after="160"/>
    </w:pPr>
    <w:rPr>
      <w:rFonts w:ascii="Arial" w:eastAsia="黑体" w:hAnsi="Arial" w:cs="Arial"/>
      <w:sz w:val="20"/>
      <w:szCs w:val="20"/>
    </w:rPr>
  </w:style>
  <w:style w:type="paragraph" w:styleId="5">
    <w:name w:val="index 5"/>
    <w:basedOn w:val="aff2"/>
    <w:next w:val="aff2"/>
    <w:qFormat/>
    <w:rsid w:val="003E2CFB"/>
    <w:pPr>
      <w:ind w:left="1050" w:hanging="210"/>
      <w:jc w:val="left"/>
    </w:pPr>
    <w:rPr>
      <w:rFonts w:ascii="Calibri" w:hAnsi="Calibri"/>
      <w:sz w:val="20"/>
      <w:szCs w:val="20"/>
    </w:rPr>
  </w:style>
  <w:style w:type="paragraph" w:styleId="aff8">
    <w:name w:val="Document Map"/>
    <w:basedOn w:val="aff2"/>
    <w:semiHidden/>
    <w:qFormat/>
    <w:rsid w:val="003E2CFB"/>
    <w:pPr>
      <w:shd w:val="clear" w:color="auto" w:fill="000080"/>
    </w:pPr>
  </w:style>
  <w:style w:type="paragraph" w:styleId="aff9">
    <w:name w:val="annotation text"/>
    <w:basedOn w:val="aff2"/>
    <w:link w:val="Char"/>
    <w:unhideWhenUsed/>
    <w:qFormat/>
    <w:rsid w:val="003E2CFB"/>
    <w:pPr>
      <w:jc w:val="left"/>
    </w:pPr>
  </w:style>
  <w:style w:type="paragraph" w:styleId="6">
    <w:name w:val="index 6"/>
    <w:basedOn w:val="aff2"/>
    <w:next w:val="aff2"/>
    <w:qFormat/>
    <w:rsid w:val="003E2CFB"/>
    <w:pPr>
      <w:ind w:left="1260" w:hanging="210"/>
      <w:jc w:val="left"/>
    </w:pPr>
    <w:rPr>
      <w:rFonts w:ascii="Calibri" w:hAnsi="Calibri"/>
      <w:sz w:val="20"/>
      <w:szCs w:val="20"/>
    </w:rPr>
  </w:style>
  <w:style w:type="paragraph" w:styleId="4">
    <w:name w:val="index 4"/>
    <w:basedOn w:val="aff2"/>
    <w:next w:val="aff2"/>
    <w:qFormat/>
    <w:rsid w:val="003E2CFB"/>
    <w:pPr>
      <w:ind w:left="840" w:hanging="210"/>
      <w:jc w:val="left"/>
    </w:pPr>
    <w:rPr>
      <w:rFonts w:ascii="Calibri" w:hAnsi="Calibri"/>
      <w:sz w:val="20"/>
      <w:szCs w:val="20"/>
    </w:rPr>
  </w:style>
  <w:style w:type="paragraph" w:styleId="50">
    <w:name w:val="toc 5"/>
    <w:basedOn w:val="aff2"/>
    <w:next w:val="aff2"/>
    <w:semiHidden/>
    <w:qFormat/>
    <w:rsid w:val="003E2CFB"/>
    <w:pPr>
      <w:tabs>
        <w:tab w:val="right" w:leader="dot" w:pos="9241"/>
      </w:tabs>
      <w:ind w:firstLineChars="300" w:firstLine="300"/>
      <w:jc w:val="left"/>
    </w:pPr>
    <w:rPr>
      <w:rFonts w:ascii="宋体"/>
      <w:szCs w:val="21"/>
    </w:rPr>
  </w:style>
  <w:style w:type="paragraph" w:styleId="3">
    <w:name w:val="toc 3"/>
    <w:basedOn w:val="aff2"/>
    <w:next w:val="aff2"/>
    <w:semiHidden/>
    <w:qFormat/>
    <w:rsid w:val="003E2CFB"/>
    <w:pPr>
      <w:tabs>
        <w:tab w:val="right" w:leader="dot" w:pos="9241"/>
      </w:tabs>
      <w:ind w:firstLineChars="100" w:firstLine="100"/>
      <w:jc w:val="left"/>
    </w:pPr>
    <w:rPr>
      <w:rFonts w:ascii="宋体"/>
      <w:szCs w:val="21"/>
    </w:rPr>
  </w:style>
  <w:style w:type="paragraph" w:styleId="80">
    <w:name w:val="toc 8"/>
    <w:basedOn w:val="aff2"/>
    <w:next w:val="aff2"/>
    <w:semiHidden/>
    <w:qFormat/>
    <w:rsid w:val="003E2CFB"/>
    <w:pPr>
      <w:tabs>
        <w:tab w:val="right" w:leader="dot" w:pos="9241"/>
      </w:tabs>
      <w:ind w:firstLineChars="600" w:firstLine="607"/>
      <w:jc w:val="left"/>
    </w:pPr>
    <w:rPr>
      <w:rFonts w:ascii="宋体"/>
      <w:szCs w:val="21"/>
    </w:rPr>
  </w:style>
  <w:style w:type="paragraph" w:styleId="30">
    <w:name w:val="index 3"/>
    <w:basedOn w:val="aff2"/>
    <w:next w:val="aff2"/>
    <w:qFormat/>
    <w:rsid w:val="003E2CFB"/>
    <w:pPr>
      <w:ind w:left="630" w:hanging="210"/>
      <w:jc w:val="left"/>
    </w:pPr>
    <w:rPr>
      <w:rFonts w:ascii="Calibri" w:hAnsi="Calibri"/>
      <w:sz w:val="20"/>
      <w:szCs w:val="20"/>
    </w:rPr>
  </w:style>
  <w:style w:type="paragraph" w:styleId="affa">
    <w:name w:val="endnote text"/>
    <w:basedOn w:val="aff2"/>
    <w:semiHidden/>
    <w:qFormat/>
    <w:rsid w:val="003E2CFB"/>
    <w:pPr>
      <w:snapToGrid w:val="0"/>
      <w:jc w:val="left"/>
    </w:pPr>
  </w:style>
  <w:style w:type="paragraph" w:styleId="affb">
    <w:name w:val="Balloon Text"/>
    <w:basedOn w:val="aff2"/>
    <w:link w:val="Char0"/>
    <w:qFormat/>
    <w:rsid w:val="003E2CFB"/>
    <w:rPr>
      <w:sz w:val="18"/>
      <w:szCs w:val="18"/>
    </w:rPr>
  </w:style>
  <w:style w:type="paragraph" w:styleId="affc">
    <w:name w:val="footer"/>
    <w:basedOn w:val="aff2"/>
    <w:qFormat/>
    <w:rsid w:val="003E2CFB"/>
    <w:pPr>
      <w:snapToGrid w:val="0"/>
      <w:ind w:rightChars="100" w:right="210"/>
      <w:jc w:val="right"/>
    </w:pPr>
    <w:rPr>
      <w:sz w:val="18"/>
      <w:szCs w:val="18"/>
    </w:rPr>
  </w:style>
  <w:style w:type="paragraph" w:styleId="affd">
    <w:name w:val="header"/>
    <w:basedOn w:val="aff2"/>
    <w:qFormat/>
    <w:rsid w:val="003E2CFB"/>
    <w:pPr>
      <w:snapToGrid w:val="0"/>
      <w:jc w:val="left"/>
    </w:pPr>
    <w:rPr>
      <w:sz w:val="18"/>
      <w:szCs w:val="18"/>
    </w:rPr>
  </w:style>
  <w:style w:type="paragraph" w:styleId="1">
    <w:name w:val="toc 1"/>
    <w:basedOn w:val="aff2"/>
    <w:next w:val="aff2"/>
    <w:semiHidden/>
    <w:qFormat/>
    <w:rsid w:val="003E2CFB"/>
    <w:pPr>
      <w:tabs>
        <w:tab w:val="right" w:leader="dot" w:pos="9242"/>
      </w:tabs>
      <w:spacing w:beforeLines="25" w:afterLines="25"/>
      <w:jc w:val="left"/>
    </w:pPr>
    <w:rPr>
      <w:rFonts w:ascii="宋体"/>
      <w:szCs w:val="21"/>
    </w:rPr>
  </w:style>
  <w:style w:type="paragraph" w:styleId="40">
    <w:name w:val="toc 4"/>
    <w:basedOn w:val="aff2"/>
    <w:next w:val="aff2"/>
    <w:semiHidden/>
    <w:qFormat/>
    <w:rsid w:val="003E2CFB"/>
    <w:pPr>
      <w:tabs>
        <w:tab w:val="right" w:leader="dot" w:pos="9241"/>
      </w:tabs>
      <w:ind w:firstLineChars="200" w:firstLine="200"/>
      <w:jc w:val="left"/>
    </w:pPr>
    <w:rPr>
      <w:rFonts w:ascii="宋体"/>
      <w:szCs w:val="21"/>
    </w:rPr>
  </w:style>
  <w:style w:type="paragraph" w:styleId="affe">
    <w:name w:val="index heading"/>
    <w:basedOn w:val="aff2"/>
    <w:next w:val="10"/>
    <w:qFormat/>
    <w:rsid w:val="003E2CFB"/>
    <w:pPr>
      <w:spacing w:before="120" w:after="120"/>
      <w:jc w:val="center"/>
    </w:pPr>
    <w:rPr>
      <w:rFonts w:ascii="Calibri" w:hAnsi="Calibri"/>
      <w:b/>
      <w:bCs/>
      <w:iCs/>
      <w:szCs w:val="20"/>
    </w:rPr>
  </w:style>
  <w:style w:type="paragraph" w:styleId="10">
    <w:name w:val="index 1"/>
    <w:basedOn w:val="aff2"/>
    <w:next w:val="afff"/>
    <w:qFormat/>
    <w:rsid w:val="003E2CFB"/>
    <w:pPr>
      <w:tabs>
        <w:tab w:val="right" w:leader="dot" w:pos="9299"/>
      </w:tabs>
      <w:jc w:val="left"/>
    </w:pPr>
    <w:rPr>
      <w:rFonts w:ascii="宋体"/>
      <w:szCs w:val="21"/>
    </w:rPr>
  </w:style>
  <w:style w:type="paragraph" w:customStyle="1" w:styleId="afff">
    <w:name w:val="段"/>
    <w:link w:val="Char1"/>
    <w:qFormat/>
    <w:rsid w:val="003E2CFB"/>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rsid w:val="003E2CFB"/>
    <w:pPr>
      <w:numPr>
        <w:numId w:val="1"/>
      </w:numPr>
      <w:snapToGrid w:val="0"/>
      <w:jc w:val="left"/>
    </w:pPr>
    <w:rPr>
      <w:rFonts w:ascii="宋体"/>
      <w:sz w:val="18"/>
      <w:szCs w:val="18"/>
    </w:rPr>
  </w:style>
  <w:style w:type="paragraph" w:styleId="60">
    <w:name w:val="toc 6"/>
    <w:basedOn w:val="aff2"/>
    <w:next w:val="aff2"/>
    <w:semiHidden/>
    <w:qFormat/>
    <w:rsid w:val="003E2CFB"/>
    <w:pPr>
      <w:tabs>
        <w:tab w:val="right" w:leader="dot" w:pos="9241"/>
      </w:tabs>
      <w:ind w:firstLineChars="400" w:firstLine="400"/>
      <w:jc w:val="left"/>
    </w:pPr>
    <w:rPr>
      <w:rFonts w:ascii="宋体"/>
      <w:szCs w:val="21"/>
    </w:rPr>
  </w:style>
  <w:style w:type="paragraph" w:styleId="70">
    <w:name w:val="index 7"/>
    <w:basedOn w:val="aff2"/>
    <w:next w:val="aff2"/>
    <w:qFormat/>
    <w:rsid w:val="003E2CFB"/>
    <w:pPr>
      <w:ind w:left="1470" w:hanging="210"/>
      <w:jc w:val="left"/>
    </w:pPr>
    <w:rPr>
      <w:rFonts w:ascii="Calibri" w:hAnsi="Calibri"/>
      <w:sz w:val="20"/>
      <w:szCs w:val="20"/>
    </w:rPr>
  </w:style>
  <w:style w:type="paragraph" w:styleId="9">
    <w:name w:val="index 9"/>
    <w:basedOn w:val="aff2"/>
    <w:next w:val="aff2"/>
    <w:qFormat/>
    <w:rsid w:val="003E2CFB"/>
    <w:pPr>
      <w:ind w:left="1890" w:hanging="210"/>
      <w:jc w:val="left"/>
    </w:pPr>
    <w:rPr>
      <w:rFonts w:ascii="Calibri" w:hAnsi="Calibri"/>
      <w:sz w:val="20"/>
      <w:szCs w:val="20"/>
    </w:rPr>
  </w:style>
  <w:style w:type="paragraph" w:styleId="2">
    <w:name w:val="toc 2"/>
    <w:basedOn w:val="aff2"/>
    <w:next w:val="aff2"/>
    <w:semiHidden/>
    <w:qFormat/>
    <w:rsid w:val="003E2CFB"/>
    <w:pPr>
      <w:tabs>
        <w:tab w:val="right" w:leader="dot" w:pos="9242"/>
      </w:tabs>
    </w:pPr>
    <w:rPr>
      <w:rFonts w:ascii="宋体"/>
      <w:szCs w:val="21"/>
    </w:rPr>
  </w:style>
  <w:style w:type="paragraph" w:styleId="90">
    <w:name w:val="toc 9"/>
    <w:basedOn w:val="aff2"/>
    <w:next w:val="aff2"/>
    <w:semiHidden/>
    <w:qFormat/>
    <w:rsid w:val="003E2CFB"/>
    <w:pPr>
      <w:ind w:left="1470"/>
      <w:jc w:val="left"/>
    </w:pPr>
    <w:rPr>
      <w:sz w:val="20"/>
      <w:szCs w:val="20"/>
    </w:rPr>
  </w:style>
  <w:style w:type="paragraph" w:styleId="20">
    <w:name w:val="index 2"/>
    <w:basedOn w:val="aff2"/>
    <w:next w:val="aff2"/>
    <w:qFormat/>
    <w:rsid w:val="003E2CFB"/>
    <w:pPr>
      <w:ind w:left="420" w:hanging="210"/>
      <w:jc w:val="left"/>
    </w:pPr>
    <w:rPr>
      <w:rFonts w:ascii="Calibri" w:hAnsi="Calibri"/>
      <w:sz w:val="20"/>
      <w:szCs w:val="20"/>
    </w:rPr>
  </w:style>
  <w:style w:type="paragraph" w:styleId="afff0">
    <w:name w:val="annotation subject"/>
    <w:basedOn w:val="aff9"/>
    <w:next w:val="aff9"/>
    <w:link w:val="Char2"/>
    <w:unhideWhenUsed/>
    <w:qFormat/>
    <w:rsid w:val="003E2CFB"/>
    <w:rPr>
      <w:b/>
      <w:bCs/>
    </w:rPr>
  </w:style>
  <w:style w:type="table" w:styleId="afff1">
    <w:name w:val="Table Grid"/>
    <w:basedOn w:val="aff5"/>
    <w:qFormat/>
    <w:rsid w:val="003E2CFB"/>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2">
    <w:name w:val="endnote reference"/>
    <w:semiHidden/>
    <w:qFormat/>
    <w:rsid w:val="003E2CFB"/>
    <w:rPr>
      <w:vertAlign w:val="superscript"/>
    </w:rPr>
  </w:style>
  <w:style w:type="character" w:styleId="afff3">
    <w:name w:val="page number"/>
    <w:qFormat/>
    <w:rsid w:val="003E2CFB"/>
    <w:rPr>
      <w:rFonts w:ascii="Times New Roman" w:eastAsia="宋体" w:hAnsi="Times New Roman"/>
      <w:sz w:val="18"/>
    </w:rPr>
  </w:style>
  <w:style w:type="character" w:styleId="afff4">
    <w:name w:val="FollowedHyperlink"/>
    <w:qFormat/>
    <w:rsid w:val="003E2CFB"/>
    <w:rPr>
      <w:color w:val="800080"/>
      <w:u w:val="single"/>
    </w:rPr>
  </w:style>
  <w:style w:type="character" w:styleId="afff5">
    <w:name w:val="Hyperlink"/>
    <w:qFormat/>
    <w:rsid w:val="003E2CFB"/>
    <w:rPr>
      <w:color w:val="0000FF"/>
      <w:spacing w:val="0"/>
      <w:w w:val="100"/>
      <w:szCs w:val="21"/>
      <w:u w:val="single"/>
    </w:rPr>
  </w:style>
  <w:style w:type="character" w:styleId="afff6">
    <w:name w:val="annotation reference"/>
    <w:unhideWhenUsed/>
    <w:qFormat/>
    <w:rsid w:val="003E2CFB"/>
    <w:rPr>
      <w:sz w:val="21"/>
      <w:szCs w:val="21"/>
    </w:rPr>
  </w:style>
  <w:style w:type="character" w:styleId="afff7">
    <w:name w:val="footnote reference"/>
    <w:semiHidden/>
    <w:qFormat/>
    <w:rsid w:val="003E2CFB"/>
    <w:rPr>
      <w:vertAlign w:val="superscript"/>
    </w:rPr>
  </w:style>
  <w:style w:type="character" w:customStyle="1" w:styleId="Char">
    <w:name w:val="批注文字 Char"/>
    <w:link w:val="aff9"/>
    <w:qFormat/>
    <w:rsid w:val="003E2CFB"/>
    <w:rPr>
      <w:kern w:val="2"/>
      <w:sz w:val="21"/>
      <w:szCs w:val="24"/>
    </w:rPr>
  </w:style>
  <w:style w:type="character" w:customStyle="1" w:styleId="Char0">
    <w:name w:val="批注框文本 Char"/>
    <w:link w:val="affb"/>
    <w:qFormat/>
    <w:rsid w:val="003E2CFB"/>
    <w:rPr>
      <w:kern w:val="2"/>
      <w:sz w:val="18"/>
      <w:szCs w:val="18"/>
    </w:rPr>
  </w:style>
  <w:style w:type="character" w:customStyle="1" w:styleId="Char1">
    <w:name w:val="段 Char"/>
    <w:link w:val="afff"/>
    <w:qFormat/>
    <w:rsid w:val="003E2CFB"/>
    <w:rPr>
      <w:rFonts w:ascii="宋体"/>
      <w:sz w:val="21"/>
      <w:lang w:val="en-US" w:eastAsia="zh-CN" w:bidi="ar-SA"/>
    </w:rPr>
  </w:style>
  <w:style w:type="character" w:customStyle="1" w:styleId="Char2">
    <w:name w:val="批注主题 Char"/>
    <w:link w:val="afff0"/>
    <w:semiHidden/>
    <w:qFormat/>
    <w:rsid w:val="003E2CFB"/>
    <w:rPr>
      <w:b/>
      <w:bCs/>
      <w:kern w:val="2"/>
      <w:sz w:val="21"/>
      <w:szCs w:val="24"/>
    </w:rPr>
  </w:style>
  <w:style w:type="paragraph" w:customStyle="1" w:styleId="a4">
    <w:name w:val="一级条标题"/>
    <w:next w:val="afff"/>
    <w:qFormat/>
    <w:rsid w:val="003E2CFB"/>
    <w:pPr>
      <w:numPr>
        <w:ilvl w:val="1"/>
        <w:numId w:val="2"/>
      </w:numPr>
      <w:spacing w:beforeLines="50" w:afterLines="50"/>
      <w:outlineLvl w:val="2"/>
    </w:pPr>
    <w:rPr>
      <w:rFonts w:ascii="黑体" w:eastAsia="黑体"/>
      <w:sz w:val="21"/>
      <w:szCs w:val="21"/>
    </w:rPr>
  </w:style>
  <w:style w:type="paragraph" w:customStyle="1" w:styleId="afff8">
    <w:name w:val="标准书脚_奇数页"/>
    <w:qFormat/>
    <w:rsid w:val="003E2CFB"/>
    <w:pPr>
      <w:spacing w:before="120"/>
      <w:ind w:right="198"/>
      <w:jc w:val="right"/>
    </w:pPr>
    <w:rPr>
      <w:rFonts w:ascii="宋体"/>
      <w:sz w:val="18"/>
      <w:szCs w:val="18"/>
    </w:rPr>
  </w:style>
  <w:style w:type="paragraph" w:customStyle="1" w:styleId="afff9">
    <w:name w:val="标准书眉_奇数页"/>
    <w:next w:val="aff2"/>
    <w:qFormat/>
    <w:rsid w:val="003E2CFB"/>
    <w:pPr>
      <w:tabs>
        <w:tab w:val="center" w:pos="4154"/>
        <w:tab w:val="right" w:pos="8306"/>
      </w:tabs>
      <w:spacing w:after="220"/>
      <w:jc w:val="right"/>
    </w:pPr>
    <w:rPr>
      <w:rFonts w:ascii="黑体" w:eastAsia="黑体"/>
      <w:sz w:val="21"/>
      <w:szCs w:val="21"/>
    </w:rPr>
  </w:style>
  <w:style w:type="paragraph" w:customStyle="1" w:styleId="a3">
    <w:name w:val="章标题"/>
    <w:next w:val="afff"/>
    <w:qFormat/>
    <w:rsid w:val="003E2CFB"/>
    <w:pPr>
      <w:numPr>
        <w:numId w:val="2"/>
      </w:numPr>
      <w:spacing w:beforeLines="100" w:afterLines="100"/>
      <w:jc w:val="both"/>
      <w:outlineLvl w:val="1"/>
    </w:pPr>
    <w:rPr>
      <w:rFonts w:ascii="黑体" w:eastAsia="黑体"/>
      <w:sz w:val="21"/>
    </w:rPr>
  </w:style>
  <w:style w:type="paragraph" w:customStyle="1" w:styleId="a5">
    <w:name w:val="二级条标题"/>
    <w:basedOn w:val="a4"/>
    <w:next w:val="afff"/>
    <w:qFormat/>
    <w:rsid w:val="003E2CFB"/>
    <w:pPr>
      <w:numPr>
        <w:ilvl w:val="2"/>
      </w:numPr>
      <w:spacing w:before="50" w:after="50"/>
      <w:outlineLvl w:val="3"/>
    </w:pPr>
  </w:style>
  <w:style w:type="paragraph" w:customStyle="1" w:styleId="21">
    <w:name w:val="封面标准号2"/>
    <w:qFormat/>
    <w:rsid w:val="003E2CFB"/>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rsid w:val="003E2CFB"/>
    <w:pPr>
      <w:widowControl w:val="0"/>
      <w:numPr>
        <w:numId w:val="3"/>
      </w:numPr>
      <w:jc w:val="both"/>
    </w:pPr>
    <w:rPr>
      <w:rFonts w:ascii="宋体"/>
      <w:sz w:val="21"/>
    </w:rPr>
  </w:style>
  <w:style w:type="paragraph" w:customStyle="1" w:styleId="ac">
    <w:name w:val="列项●（二级）"/>
    <w:qFormat/>
    <w:rsid w:val="003E2CFB"/>
    <w:pPr>
      <w:numPr>
        <w:ilvl w:val="1"/>
        <w:numId w:val="3"/>
      </w:numPr>
      <w:tabs>
        <w:tab w:val="left" w:pos="840"/>
      </w:tabs>
      <w:jc w:val="both"/>
    </w:pPr>
    <w:rPr>
      <w:rFonts w:ascii="宋体"/>
      <w:sz w:val="21"/>
    </w:rPr>
  </w:style>
  <w:style w:type="paragraph" w:customStyle="1" w:styleId="afffa">
    <w:name w:val="目次、标准名称标题"/>
    <w:basedOn w:val="aff2"/>
    <w:next w:val="afff"/>
    <w:qFormat/>
    <w:rsid w:val="003E2CF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6">
    <w:name w:val="三级条标题"/>
    <w:basedOn w:val="a5"/>
    <w:next w:val="afff"/>
    <w:qFormat/>
    <w:rsid w:val="003E2CFB"/>
    <w:pPr>
      <w:numPr>
        <w:ilvl w:val="3"/>
      </w:numPr>
      <w:outlineLvl w:val="4"/>
    </w:pPr>
  </w:style>
  <w:style w:type="paragraph" w:customStyle="1" w:styleId="a1">
    <w:name w:val="示例"/>
    <w:next w:val="afffb"/>
    <w:qFormat/>
    <w:rsid w:val="003E2CFB"/>
    <w:pPr>
      <w:widowControl w:val="0"/>
      <w:numPr>
        <w:numId w:val="4"/>
      </w:numPr>
      <w:jc w:val="both"/>
    </w:pPr>
    <w:rPr>
      <w:rFonts w:ascii="宋体"/>
      <w:sz w:val="18"/>
      <w:szCs w:val="18"/>
    </w:rPr>
  </w:style>
  <w:style w:type="paragraph" w:customStyle="1" w:styleId="afffb">
    <w:name w:val="示例内容"/>
    <w:qFormat/>
    <w:rsid w:val="003E2CFB"/>
    <w:pPr>
      <w:ind w:firstLineChars="200" w:firstLine="200"/>
    </w:pPr>
    <w:rPr>
      <w:rFonts w:ascii="宋体"/>
      <w:sz w:val="18"/>
      <w:szCs w:val="18"/>
    </w:rPr>
  </w:style>
  <w:style w:type="paragraph" w:customStyle="1" w:styleId="af4">
    <w:name w:val="数字编号列项（二级）"/>
    <w:qFormat/>
    <w:rsid w:val="003E2CFB"/>
    <w:pPr>
      <w:numPr>
        <w:ilvl w:val="1"/>
        <w:numId w:val="5"/>
      </w:numPr>
      <w:jc w:val="both"/>
    </w:pPr>
    <w:rPr>
      <w:rFonts w:ascii="宋体"/>
      <w:sz w:val="21"/>
    </w:rPr>
  </w:style>
  <w:style w:type="paragraph" w:customStyle="1" w:styleId="a7">
    <w:name w:val="四级条标题"/>
    <w:basedOn w:val="a6"/>
    <w:next w:val="afff"/>
    <w:qFormat/>
    <w:rsid w:val="003E2CFB"/>
    <w:pPr>
      <w:numPr>
        <w:ilvl w:val="4"/>
      </w:numPr>
      <w:outlineLvl w:val="5"/>
    </w:pPr>
  </w:style>
  <w:style w:type="paragraph" w:customStyle="1" w:styleId="a8">
    <w:name w:val="五级条标题"/>
    <w:basedOn w:val="a7"/>
    <w:next w:val="afff"/>
    <w:qFormat/>
    <w:rsid w:val="003E2CFB"/>
    <w:pPr>
      <w:numPr>
        <w:ilvl w:val="5"/>
      </w:numPr>
      <w:outlineLvl w:val="6"/>
    </w:pPr>
  </w:style>
  <w:style w:type="paragraph" w:customStyle="1" w:styleId="aff0">
    <w:name w:val="注："/>
    <w:next w:val="afff"/>
    <w:qFormat/>
    <w:rsid w:val="003E2CFB"/>
    <w:pPr>
      <w:widowControl w:val="0"/>
      <w:numPr>
        <w:numId w:val="6"/>
      </w:numPr>
      <w:autoSpaceDE w:val="0"/>
      <w:autoSpaceDN w:val="0"/>
      <w:jc w:val="both"/>
    </w:pPr>
    <w:rPr>
      <w:rFonts w:ascii="宋体"/>
      <w:sz w:val="18"/>
      <w:szCs w:val="18"/>
    </w:rPr>
  </w:style>
  <w:style w:type="paragraph" w:customStyle="1" w:styleId="a">
    <w:name w:val="注×："/>
    <w:qFormat/>
    <w:rsid w:val="003E2CFB"/>
    <w:pPr>
      <w:widowControl w:val="0"/>
      <w:numPr>
        <w:numId w:val="7"/>
      </w:numPr>
      <w:autoSpaceDE w:val="0"/>
      <w:autoSpaceDN w:val="0"/>
      <w:jc w:val="both"/>
    </w:pPr>
    <w:rPr>
      <w:rFonts w:ascii="宋体"/>
      <w:sz w:val="18"/>
      <w:szCs w:val="18"/>
    </w:rPr>
  </w:style>
  <w:style w:type="paragraph" w:customStyle="1" w:styleId="af3">
    <w:name w:val="字母编号列项（一级）"/>
    <w:qFormat/>
    <w:rsid w:val="003E2CFB"/>
    <w:pPr>
      <w:numPr>
        <w:numId w:val="5"/>
      </w:numPr>
      <w:jc w:val="both"/>
    </w:pPr>
    <w:rPr>
      <w:rFonts w:ascii="宋体"/>
      <w:sz w:val="21"/>
    </w:rPr>
  </w:style>
  <w:style w:type="paragraph" w:customStyle="1" w:styleId="ad">
    <w:name w:val="列项◆（三级）"/>
    <w:basedOn w:val="aff2"/>
    <w:qFormat/>
    <w:rsid w:val="003E2CFB"/>
    <w:pPr>
      <w:numPr>
        <w:ilvl w:val="2"/>
        <w:numId w:val="3"/>
      </w:numPr>
    </w:pPr>
    <w:rPr>
      <w:rFonts w:ascii="宋体"/>
      <w:szCs w:val="21"/>
    </w:rPr>
  </w:style>
  <w:style w:type="paragraph" w:customStyle="1" w:styleId="af5">
    <w:name w:val="编号列项（三级）"/>
    <w:qFormat/>
    <w:rsid w:val="003E2CFB"/>
    <w:pPr>
      <w:numPr>
        <w:ilvl w:val="2"/>
        <w:numId w:val="5"/>
      </w:numPr>
    </w:pPr>
    <w:rPr>
      <w:rFonts w:ascii="宋体"/>
      <w:sz w:val="21"/>
    </w:rPr>
  </w:style>
  <w:style w:type="paragraph" w:customStyle="1" w:styleId="af">
    <w:name w:val="示例×："/>
    <w:basedOn w:val="a3"/>
    <w:qFormat/>
    <w:rsid w:val="003E2CFB"/>
    <w:pPr>
      <w:numPr>
        <w:numId w:val="8"/>
      </w:numPr>
      <w:spacing w:beforeLines="0" w:afterLines="0"/>
      <w:outlineLvl w:val="9"/>
    </w:pPr>
    <w:rPr>
      <w:rFonts w:ascii="宋体" w:eastAsia="宋体"/>
      <w:sz w:val="18"/>
      <w:szCs w:val="18"/>
    </w:rPr>
  </w:style>
  <w:style w:type="paragraph" w:customStyle="1" w:styleId="afffc">
    <w:name w:val="二级无"/>
    <w:basedOn w:val="a5"/>
    <w:qFormat/>
    <w:rsid w:val="003E2CFB"/>
    <w:pPr>
      <w:spacing w:beforeLines="0" w:afterLines="0"/>
    </w:pPr>
    <w:rPr>
      <w:rFonts w:ascii="宋体" w:eastAsia="宋体"/>
    </w:rPr>
  </w:style>
  <w:style w:type="paragraph" w:customStyle="1" w:styleId="afffd">
    <w:name w:val="注：（正文）"/>
    <w:basedOn w:val="aff0"/>
    <w:next w:val="afff"/>
    <w:qFormat/>
    <w:rsid w:val="003E2CFB"/>
  </w:style>
  <w:style w:type="paragraph" w:customStyle="1" w:styleId="aff1">
    <w:name w:val="注×：（正文）"/>
    <w:qFormat/>
    <w:rsid w:val="003E2CFB"/>
    <w:pPr>
      <w:numPr>
        <w:numId w:val="9"/>
      </w:numPr>
      <w:jc w:val="both"/>
    </w:pPr>
    <w:rPr>
      <w:rFonts w:ascii="宋体"/>
      <w:sz w:val="18"/>
      <w:szCs w:val="18"/>
    </w:rPr>
  </w:style>
  <w:style w:type="paragraph" w:customStyle="1" w:styleId="afffe">
    <w:name w:val="标准标志"/>
    <w:next w:val="aff2"/>
    <w:qFormat/>
    <w:rsid w:val="003E2CFB"/>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
    <w:name w:val="标准称谓"/>
    <w:next w:val="aff2"/>
    <w:qFormat/>
    <w:rsid w:val="003E2CF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0">
    <w:name w:val="标准书脚_偶数页"/>
    <w:qFormat/>
    <w:rsid w:val="003E2CFB"/>
    <w:pPr>
      <w:spacing w:before="120"/>
      <w:ind w:left="221"/>
    </w:pPr>
    <w:rPr>
      <w:rFonts w:ascii="宋体"/>
      <w:sz w:val="18"/>
      <w:szCs w:val="18"/>
    </w:rPr>
  </w:style>
  <w:style w:type="paragraph" w:customStyle="1" w:styleId="affff1">
    <w:name w:val="标准书眉_偶数页"/>
    <w:basedOn w:val="afff9"/>
    <w:next w:val="aff2"/>
    <w:qFormat/>
    <w:rsid w:val="003E2CFB"/>
    <w:pPr>
      <w:jc w:val="left"/>
    </w:pPr>
  </w:style>
  <w:style w:type="paragraph" w:customStyle="1" w:styleId="affff2">
    <w:name w:val="标准书眉一"/>
    <w:qFormat/>
    <w:rsid w:val="003E2CFB"/>
    <w:pPr>
      <w:jc w:val="both"/>
    </w:pPr>
  </w:style>
  <w:style w:type="paragraph" w:customStyle="1" w:styleId="affff3">
    <w:name w:val="参考文献"/>
    <w:basedOn w:val="aff2"/>
    <w:next w:val="afff"/>
    <w:qFormat/>
    <w:rsid w:val="003E2C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4">
    <w:name w:val="参考文献、索引标题"/>
    <w:basedOn w:val="aff2"/>
    <w:next w:val="afff"/>
    <w:qFormat/>
    <w:rsid w:val="003E2CFB"/>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5">
    <w:name w:val="发布"/>
    <w:qFormat/>
    <w:rsid w:val="003E2CFB"/>
    <w:rPr>
      <w:rFonts w:ascii="黑体" w:eastAsia="黑体"/>
      <w:spacing w:val="85"/>
      <w:w w:val="100"/>
      <w:position w:val="3"/>
      <w:sz w:val="28"/>
      <w:szCs w:val="28"/>
    </w:rPr>
  </w:style>
  <w:style w:type="paragraph" w:customStyle="1" w:styleId="affff6">
    <w:name w:val="发布部门"/>
    <w:next w:val="afff"/>
    <w:qFormat/>
    <w:rsid w:val="003E2CFB"/>
    <w:pPr>
      <w:framePr w:w="7938" w:h="1134" w:hRule="exact" w:hSpace="125" w:vSpace="181" w:wrap="around" w:vAnchor="page" w:hAnchor="page" w:x="2150" w:y="14630" w:anchorLock="1"/>
      <w:jc w:val="center"/>
    </w:pPr>
    <w:rPr>
      <w:rFonts w:ascii="宋体"/>
      <w:b/>
      <w:spacing w:val="20"/>
      <w:w w:val="135"/>
      <w:sz w:val="28"/>
    </w:rPr>
  </w:style>
  <w:style w:type="paragraph" w:customStyle="1" w:styleId="affff7">
    <w:name w:val="发布日期"/>
    <w:qFormat/>
    <w:rsid w:val="003E2CFB"/>
    <w:pPr>
      <w:framePr w:w="3997" w:h="471" w:hRule="exact" w:vSpace="181" w:wrap="around" w:hAnchor="page" w:x="7089" w:y="14097" w:anchorLock="1"/>
    </w:pPr>
    <w:rPr>
      <w:rFonts w:eastAsia="黑体"/>
      <w:sz w:val="28"/>
    </w:rPr>
  </w:style>
  <w:style w:type="paragraph" w:customStyle="1" w:styleId="affff8">
    <w:name w:val="封面标准代替信息"/>
    <w:qFormat/>
    <w:rsid w:val="003E2CFB"/>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rsid w:val="003E2CFB"/>
    <w:pPr>
      <w:widowControl w:val="0"/>
      <w:kinsoku w:val="0"/>
      <w:overflowPunct w:val="0"/>
      <w:autoSpaceDE w:val="0"/>
      <w:autoSpaceDN w:val="0"/>
      <w:spacing w:before="308"/>
      <w:jc w:val="right"/>
      <w:textAlignment w:val="center"/>
    </w:pPr>
    <w:rPr>
      <w:sz w:val="28"/>
    </w:rPr>
  </w:style>
  <w:style w:type="paragraph" w:customStyle="1" w:styleId="affff9">
    <w:name w:val="封面标准名称"/>
    <w:qFormat/>
    <w:rsid w:val="003E2CF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a">
    <w:name w:val="封面标准英文名称"/>
    <w:basedOn w:val="affff9"/>
    <w:qFormat/>
    <w:rsid w:val="003E2CFB"/>
    <w:pPr>
      <w:framePr w:wrap="around"/>
      <w:spacing w:before="370" w:line="400" w:lineRule="exact"/>
    </w:pPr>
    <w:rPr>
      <w:rFonts w:ascii="Times New Roman"/>
      <w:sz w:val="28"/>
      <w:szCs w:val="28"/>
    </w:rPr>
  </w:style>
  <w:style w:type="paragraph" w:customStyle="1" w:styleId="affffb">
    <w:name w:val="封面一致性程度标识"/>
    <w:basedOn w:val="affffa"/>
    <w:qFormat/>
    <w:rsid w:val="003E2CFB"/>
    <w:pPr>
      <w:framePr w:wrap="around"/>
      <w:spacing w:before="440"/>
    </w:pPr>
    <w:rPr>
      <w:rFonts w:ascii="宋体" w:eastAsia="宋体"/>
    </w:rPr>
  </w:style>
  <w:style w:type="paragraph" w:customStyle="1" w:styleId="affffc">
    <w:name w:val="封面标准文稿类别"/>
    <w:basedOn w:val="affffb"/>
    <w:qFormat/>
    <w:rsid w:val="003E2CFB"/>
    <w:pPr>
      <w:framePr w:wrap="around"/>
      <w:spacing w:after="160" w:line="240" w:lineRule="auto"/>
    </w:pPr>
    <w:rPr>
      <w:sz w:val="24"/>
    </w:rPr>
  </w:style>
  <w:style w:type="paragraph" w:customStyle="1" w:styleId="affffd">
    <w:name w:val="封面标准文稿编辑信息"/>
    <w:basedOn w:val="affffc"/>
    <w:qFormat/>
    <w:rsid w:val="003E2CFB"/>
    <w:pPr>
      <w:framePr w:wrap="around"/>
      <w:spacing w:before="180" w:line="180" w:lineRule="exact"/>
    </w:pPr>
    <w:rPr>
      <w:sz w:val="21"/>
    </w:rPr>
  </w:style>
  <w:style w:type="paragraph" w:customStyle="1" w:styleId="affffe">
    <w:name w:val="封面正文"/>
    <w:qFormat/>
    <w:rsid w:val="003E2CFB"/>
    <w:pPr>
      <w:jc w:val="both"/>
    </w:pPr>
  </w:style>
  <w:style w:type="paragraph" w:customStyle="1" w:styleId="af7">
    <w:name w:val="附录标识"/>
    <w:basedOn w:val="aff2"/>
    <w:next w:val="afff"/>
    <w:qFormat/>
    <w:rsid w:val="003E2CFB"/>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
    <w:name w:val="附录标题"/>
    <w:basedOn w:val="afff"/>
    <w:next w:val="afff"/>
    <w:qFormat/>
    <w:rsid w:val="003E2CFB"/>
    <w:pPr>
      <w:ind w:firstLineChars="0" w:firstLine="0"/>
      <w:jc w:val="center"/>
    </w:pPr>
    <w:rPr>
      <w:rFonts w:ascii="黑体" w:eastAsia="黑体"/>
    </w:rPr>
  </w:style>
  <w:style w:type="paragraph" w:customStyle="1" w:styleId="af1">
    <w:name w:val="附录表标号"/>
    <w:basedOn w:val="aff2"/>
    <w:next w:val="afff"/>
    <w:qFormat/>
    <w:rsid w:val="003E2CFB"/>
    <w:pPr>
      <w:numPr>
        <w:numId w:val="11"/>
      </w:numPr>
      <w:tabs>
        <w:tab w:val="clear" w:pos="0"/>
      </w:tabs>
      <w:spacing w:line="14" w:lineRule="exact"/>
      <w:ind w:left="811" w:hanging="448"/>
      <w:jc w:val="center"/>
      <w:outlineLvl w:val="0"/>
    </w:pPr>
    <w:rPr>
      <w:color w:val="FFFFFF"/>
    </w:rPr>
  </w:style>
  <w:style w:type="paragraph" w:customStyle="1" w:styleId="af2">
    <w:name w:val="附录表标题"/>
    <w:basedOn w:val="aff2"/>
    <w:next w:val="afff"/>
    <w:qFormat/>
    <w:rsid w:val="003E2CFB"/>
    <w:pPr>
      <w:numPr>
        <w:ilvl w:val="1"/>
        <w:numId w:val="11"/>
      </w:numPr>
      <w:tabs>
        <w:tab w:val="left" w:pos="180"/>
      </w:tabs>
      <w:spacing w:beforeLines="50" w:afterLines="50"/>
      <w:ind w:left="0" w:firstLine="0"/>
      <w:jc w:val="center"/>
    </w:pPr>
    <w:rPr>
      <w:rFonts w:ascii="黑体" w:eastAsia="黑体"/>
      <w:szCs w:val="21"/>
    </w:rPr>
  </w:style>
  <w:style w:type="paragraph" w:customStyle="1" w:styleId="afa">
    <w:name w:val="附录二级条标题"/>
    <w:basedOn w:val="aff2"/>
    <w:next w:val="afff"/>
    <w:qFormat/>
    <w:rsid w:val="003E2CFB"/>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0">
    <w:name w:val="附录二级无"/>
    <w:basedOn w:val="afa"/>
    <w:qFormat/>
    <w:rsid w:val="003E2CFB"/>
    <w:pPr>
      <w:tabs>
        <w:tab w:val="clear" w:pos="360"/>
      </w:tabs>
      <w:spacing w:beforeLines="0" w:afterLines="0"/>
    </w:pPr>
    <w:rPr>
      <w:rFonts w:ascii="宋体" w:eastAsia="宋体"/>
      <w:szCs w:val="21"/>
    </w:rPr>
  </w:style>
  <w:style w:type="paragraph" w:customStyle="1" w:styleId="afffff1">
    <w:name w:val="附录公式"/>
    <w:basedOn w:val="afff"/>
    <w:next w:val="afff"/>
    <w:link w:val="Char3"/>
    <w:qFormat/>
    <w:rsid w:val="003E2CFB"/>
  </w:style>
  <w:style w:type="character" w:customStyle="1" w:styleId="Char3">
    <w:name w:val="附录公式 Char"/>
    <w:link w:val="afffff1"/>
    <w:qFormat/>
    <w:rsid w:val="003E2CFB"/>
    <w:rPr>
      <w:rFonts w:ascii="宋体"/>
      <w:sz w:val="21"/>
      <w:lang w:val="en-US" w:eastAsia="zh-CN" w:bidi="ar-SA"/>
    </w:rPr>
  </w:style>
  <w:style w:type="paragraph" w:customStyle="1" w:styleId="afffff2">
    <w:name w:val="附录公式编号制表符"/>
    <w:basedOn w:val="aff2"/>
    <w:next w:val="afff"/>
    <w:qFormat/>
    <w:rsid w:val="003E2CFB"/>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f"/>
    <w:qFormat/>
    <w:rsid w:val="003E2CFB"/>
    <w:pPr>
      <w:numPr>
        <w:ilvl w:val="4"/>
      </w:numPr>
      <w:outlineLvl w:val="4"/>
    </w:pPr>
  </w:style>
  <w:style w:type="paragraph" w:customStyle="1" w:styleId="afffff3">
    <w:name w:val="附录三级无"/>
    <w:basedOn w:val="afb"/>
    <w:qFormat/>
    <w:rsid w:val="003E2CFB"/>
    <w:pPr>
      <w:tabs>
        <w:tab w:val="clear" w:pos="360"/>
      </w:tabs>
      <w:spacing w:beforeLines="0" w:afterLines="0"/>
    </w:pPr>
    <w:rPr>
      <w:rFonts w:ascii="宋体" w:eastAsia="宋体"/>
      <w:szCs w:val="21"/>
    </w:rPr>
  </w:style>
  <w:style w:type="paragraph" w:customStyle="1" w:styleId="aff">
    <w:name w:val="附录数字编号列项（二级）"/>
    <w:qFormat/>
    <w:rsid w:val="003E2CFB"/>
    <w:pPr>
      <w:numPr>
        <w:ilvl w:val="1"/>
        <w:numId w:val="12"/>
      </w:numPr>
    </w:pPr>
    <w:rPr>
      <w:rFonts w:ascii="宋体"/>
      <w:sz w:val="21"/>
    </w:rPr>
  </w:style>
  <w:style w:type="paragraph" w:customStyle="1" w:styleId="afc">
    <w:name w:val="附录四级条标题"/>
    <w:basedOn w:val="afb"/>
    <w:next w:val="afff"/>
    <w:qFormat/>
    <w:rsid w:val="003E2CFB"/>
    <w:pPr>
      <w:numPr>
        <w:ilvl w:val="5"/>
      </w:numPr>
      <w:outlineLvl w:val="5"/>
    </w:pPr>
  </w:style>
  <w:style w:type="paragraph" w:customStyle="1" w:styleId="afffff4">
    <w:name w:val="附录四级无"/>
    <w:basedOn w:val="afc"/>
    <w:qFormat/>
    <w:rsid w:val="003E2CFB"/>
    <w:pPr>
      <w:tabs>
        <w:tab w:val="clear" w:pos="360"/>
      </w:tabs>
      <w:spacing w:beforeLines="0" w:afterLines="0"/>
    </w:pPr>
    <w:rPr>
      <w:rFonts w:ascii="宋体" w:eastAsia="宋体"/>
      <w:szCs w:val="21"/>
    </w:rPr>
  </w:style>
  <w:style w:type="paragraph" w:customStyle="1" w:styleId="a9">
    <w:name w:val="附录图标号"/>
    <w:basedOn w:val="aff2"/>
    <w:qFormat/>
    <w:rsid w:val="003E2CFB"/>
    <w:pPr>
      <w:keepNext/>
      <w:pageBreakBefore/>
      <w:widowControl/>
      <w:numPr>
        <w:numId w:val="13"/>
      </w:numPr>
      <w:spacing w:line="14" w:lineRule="exact"/>
      <w:ind w:left="0" w:firstLine="363"/>
      <w:jc w:val="center"/>
      <w:outlineLvl w:val="0"/>
    </w:pPr>
    <w:rPr>
      <w:color w:val="FFFFFF"/>
    </w:rPr>
  </w:style>
  <w:style w:type="paragraph" w:customStyle="1" w:styleId="aa">
    <w:name w:val="附录图标题"/>
    <w:basedOn w:val="aff2"/>
    <w:next w:val="afff"/>
    <w:qFormat/>
    <w:rsid w:val="003E2CFB"/>
    <w:pPr>
      <w:numPr>
        <w:ilvl w:val="1"/>
        <w:numId w:val="13"/>
      </w:numPr>
      <w:tabs>
        <w:tab w:val="left" w:pos="363"/>
      </w:tabs>
      <w:spacing w:beforeLines="50" w:afterLines="50"/>
      <w:ind w:left="0" w:firstLine="0"/>
      <w:jc w:val="center"/>
    </w:pPr>
    <w:rPr>
      <w:rFonts w:ascii="黑体" w:eastAsia="黑体"/>
      <w:szCs w:val="21"/>
    </w:rPr>
  </w:style>
  <w:style w:type="paragraph" w:customStyle="1" w:styleId="afd">
    <w:name w:val="附录五级条标题"/>
    <w:basedOn w:val="afc"/>
    <w:next w:val="afff"/>
    <w:qFormat/>
    <w:rsid w:val="003E2CFB"/>
    <w:pPr>
      <w:numPr>
        <w:ilvl w:val="6"/>
      </w:numPr>
      <w:outlineLvl w:val="6"/>
    </w:pPr>
  </w:style>
  <w:style w:type="paragraph" w:customStyle="1" w:styleId="afffff5">
    <w:name w:val="附录五级无"/>
    <w:basedOn w:val="afd"/>
    <w:qFormat/>
    <w:rsid w:val="003E2CFB"/>
    <w:pPr>
      <w:tabs>
        <w:tab w:val="clear" w:pos="360"/>
      </w:tabs>
      <w:spacing w:beforeLines="0" w:afterLines="0"/>
    </w:pPr>
    <w:rPr>
      <w:rFonts w:ascii="宋体" w:eastAsia="宋体"/>
      <w:szCs w:val="21"/>
    </w:rPr>
  </w:style>
  <w:style w:type="paragraph" w:customStyle="1" w:styleId="af8">
    <w:name w:val="附录章标题"/>
    <w:next w:val="afff"/>
    <w:qFormat/>
    <w:rsid w:val="003E2CFB"/>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f"/>
    <w:qFormat/>
    <w:rsid w:val="003E2CFB"/>
    <w:pPr>
      <w:numPr>
        <w:ilvl w:val="2"/>
      </w:numPr>
      <w:autoSpaceDN w:val="0"/>
      <w:spacing w:beforeLines="50" w:afterLines="50"/>
      <w:outlineLvl w:val="2"/>
    </w:pPr>
  </w:style>
  <w:style w:type="paragraph" w:customStyle="1" w:styleId="afffff6">
    <w:name w:val="附录一级无"/>
    <w:basedOn w:val="af9"/>
    <w:qFormat/>
    <w:rsid w:val="003E2CFB"/>
    <w:pPr>
      <w:tabs>
        <w:tab w:val="clear" w:pos="360"/>
      </w:tabs>
      <w:spacing w:beforeLines="0" w:afterLines="0"/>
    </w:pPr>
    <w:rPr>
      <w:rFonts w:ascii="宋体" w:eastAsia="宋体"/>
      <w:szCs w:val="21"/>
    </w:rPr>
  </w:style>
  <w:style w:type="paragraph" w:customStyle="1" w:styleId="afe">
    <w:name w:val="附录字母编号列项（一级）"/>
    <w:qFormat/>
    <w:rsid w:val="003E2CFB"/>
    <w:pPr>
      <w:numPr>
        <w:numId w:val="12"/>
      </w:numPr>
    </w:pPr>
    <w:rPr>
      <w:rFonts w:ascii="宋体"/>
      <w:sz w:val="21"/>
    </w:rPr>
  </w:style>
  <w:style w:type="paragraph" w:customStyle="1" w:styleId="afffff7">
    <w:name w:val="列项说明"/>
    <w:basedOn w:val="aff2"/>
    <w:qFormat/>
    <w:rsid w:val="003E2CFB"/>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列项说明数字编号"/>
    <w:qFormat/>
    <w:rsid w:val="003E2CFB"/>
    <w:pPr>
      <w:ind w:leftChars="400" w:left="600" w:hangingChars="200" w:hanging="200"/>
    </w:pPr>
    <w:rPr>
      <w:rFonts w:ascii="宋体"/>
      <w:sz w:val="21"/>
    </w:rPr>
  </w:style>
  <w:style w:type="paragraph" w:customStyle="1" w:styleId="afffff9">
    <w:name w:val="目次、索引正文"/>
    <w:qFormat/>
    <w:rsid w:val="003E2CFB"/>
    <w:pPr>
      <w:spacing w:line="320" w:lineRule="exact"/>
      <w:jc w:val="both"/>
    </w:pPr>
    <w:rPr>
      <w:rFonts w:ascii="宋体"/>
      <w:sz w:val="21"/>
    </w:rPr>
  </w:style>
  <w:style w:type="paragraph" w:customStyle="1" w:styleId="afffffa">
    <w:name w:val="其他标准标志"/>
    <w:basedOn w:val="afffe"/>
    <w:qFormat/>
    <w:rsid w:val="003E2CFB"/>
    <w:pPr>
      <w:framePr w:w="6101" w:wrap="around" w:vAnchor="page" w:hAnchor="page" w:x="4673" w:y="942"/>
    </w:pPr>
    <w:rPr>
      <w:w w:val="130"/>
    </w:rPr>
  </w:style>
  <w:style w:type="paragraph" w:customStyle="1" w:styleId="afffffb">
    <w:name w:val="其他标准称谓"/>
    <w:next w:val="aff2"/>
    <w:qFormat/>
    <w:rsid w:val="003E2CF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其他发布部门"/>
    <w:basedOn w:val="affff6"/>
    <w:qFormat/>
    <w:rsid w:val="003E2CFB"/>
    <w:pPr>
      <w:framePr w:wrap="around" w:y="15310"/>
      <w:spacing w:line="0" w:lineRule="atLeast"/>
    </w:pPr>
    <w:rPr>
      <w:rFonts w:ascii="黑体" w:eastAsia="黑体"/>
      <w:b w:val="0"/>
    </w:rPr>
  </w:style>
  <w:style w:type="paragraph" w:customStyle="1" w:styleId="afffffd">
    <w:name w:val="前言、引言标题"/>
    <w:next w:val="afff"/>
    <w:qFormat/>
    <w:rsid w:val="003E2CFB"/>
    <w:pPr>
      <w:keepNext/>
      <w:pageBreakBefore/>
      <w:shd w:val="clear" w:color="FFFFFF" w:fill="FFFFFF"/>
      <w:spacing w:before="640" w:after="560"/>
      <w:jc w:val="center"/>
      <w:outlineLvl w:val="0"/>
    </w:pPr>
    <w:rPr>
      <w:rFonts w:ascii="黑体" w:eastAsia="黑体"/>
      <w:sz w:val="32"/>
    </w:rPr>
  </w:style>
  <w:style w:type="paragraph" w:customStyle="1" w:styleId="afffffe">
    <w:name w:val="三级无"/>
    <w:basedOn w:val="a6"/>
    <w:qFormat/>
    <w:rsid w:val="003E2CFB"/>
    <w:pPr>
      <w:spacing w:beforeLines="0" w:afterLines="0"/>
    </w:pPr>
    <w:rPr>
      <w:rFonts w:ascii="宋体" w:eastAsia="宋体"/>
    </w:rPr>
  </w:style>
  <w:style w:type="paragraph" w:customStyle="1" w:styleId="affffff">
    <w:name w:val="实施日期"/>
    <w:basedOn w:val="affff7"/>
    <w:qFormat/>
    <w:rsid w:val="003E2CFB"/>
    <w:pPr>
      <w:framePr w:wrap="around" w:vAnchor="page" w:hAnchor="text"/>
      <w:jc w:val="right"/>
    </w:pPr>
  </w:style>
  <w:style w:type="paragraph" w:customStyle="1" w:styleId="affffff0">
    <w:name w:val="示例后文字"/>
    <w:basedOn w:val="afff"/>
    <w:next w:val="afff"/>
    <w:qFormat/>
    <w:rsid w:val="003E2CFB"/>
    <w:pPr>
      <w:ind w:firstLine="360"/>
    </w:pPr>
    <w:rPr>
      <w:sz w:val="18"/>
    </w:rPr>
  </w:style>
  <w:style w:type="paragraph" w:customStyle="1" w:styleId="a0">
    <w:name w:val="首示例"/>
    <w:next w:val="afff"/>
    <w:link w:val="Char4"/>
    <w:qFormat/>
    <w:rsid w:val="003E2CFB"/>
    <w:pPr>
      <w:numPr>
        <w:numId w:val="14"/>
      </w:numPr>
      <w:tabs>
        <w:tab w:val="left" w:pos="360"/>
      </w:tabs>
      <w:ind w:firstLine="0"/>
    </w:pPr>
    <w:rPr>
      <w:rFonts w:ascii="宋体" w:hAnsi="宋体"/>
      <w:kern w:val="2"/>
      <w:sz w:val="18"/>
      <w:szCs w:val="18"/>
    </w:rPr>
  </w:style>
  <w:style w:type="character" w:customStyle="1" w:styleId="Char4">
    <w:name w:val="首示例 Char"/>
    <w:link w:val="a0"/>
    <w:qFormat/>
    <w:rsid w:val="003E2CFB"/>
    <w:rPr>
      <w:rFonts w:ascii="宋体" w:hAnsi="宋体"/>
      <w:kern w:val="2"/>
      <w:sz w:val="18"/>
      <w:szCs w:val="18"/>
      <w:lang w:val="en-US" w:eastAsia="zh-CN" w:bidi="ar-SA"/>
    </w:rPr>
  </w:style>
  <w:style w:type="paragraph" w:customStyle="1" w:styleId="affffff1">
    <w:name w:val="四级无"/>
    <w:basedOn w:val="a7"/>
    <w:qFormat/>
    <w:rsid w:val="003E2CFB"/>
    <w:pPr>
      <w:spacing w:beforeLines="0" w:afterLines="0"/>
    </w:pPr>
    <w:rPr>
      <w:rFonts w:ascii="宋体" w:eastAsia="宋体"/>
    </w:rPr>
  </w:style>
  <w:style w:type="paragraph" w:customStyle="1" w:styleId="affffff2">
    <w:name w:val="条文脚注"/>
    <w:basedOn w:val="ae"/>
    <w:qFormat/>
    <w:rsid w:val="003E2CFB"/>
    <w:pPr>
      <w:numPr>
        <w:numId w:val="0"/>
      </w:numPr>
      <w:tabs>
        <w:tab w:val="clear" w:pos="0"/>
      </w:tabs>
      <w:jc w:val="both"/>
    </w:pPr>
  </w:style>
  <w:style w:type="paragraph" w:customStyle="1" w:styleId="affffff3">
    <w:name w:val="图标脚注说明"/>
    <w:basedOn w:val="afff"/>
    <w:qFormat/>
    <w:rsid w:val="003E2CFB"/>
    <w:pPr>
      <w:ind w:left="840" w:firstLineChars="0" w:hanging="420"/>
    </w:pPr>
    <w:rPr>
      <w:sz w:val="18"/>
      <w:szCs w:val="18"/>
    </w:rPr>
  </w:style>
  <w:style w:type="paragraph" w:customStyle="1" w:styleId="a2">
    <w:name w:val="图表脚注说明"/>
    <w:basedOn w:val="aff2"/>
    <w:qFormat/>
    <w:rsid w:val="003E2CFB"/>
    <w:pPr>
      <w:numPr>
        <w:numId w:val="15"/>
      </w:numPr>
    </w:pPr>
    <w:rPr>
      <w:rFonts w:ascii="宋体"/>
      <w:sz w:val="18"/>
      <w:szCs w:val="18"/>
    </w:rPr>
  </w:style>
  <w:style w:type="paragraph" w:customStyle="1" w:styleId="affffff4">
    <w:name w:val="图的脚注"/>
    <w:next w:val="afff"/>
    <w:qFormat/>
    <w:rsid w:val="003E2CFB"/>
    <w:pPr>
      <w:widowControl w:val="0"/>
      <w:ind w:leftChars="200" w:left="840" w:hangingChars="200" w:hanging="420"/>
      <w:jc w:val="both"/>
    </w:pPr>
    <w:rPr>
      <w:rFonts w:ascii="宋体"/>
      <w:sz w:val="18"/>
    </w:rPr>
  </w:style>
  <w:style w:type="paragraph" w:customStyle="1" w:styleId="affffff5">
    <w:name w:val="文献分类号"/>
    <w:qFormat/>
    <w:rsid w:val="003E2CFB"/>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8"/>
    <w:qFormat/>
    <w:rsid w:val="003E2CFB"/>
    <w:pPr>
      <w:spacing w:beforeLines="0" w:afterLines="0"/>
    </w:pPr>
    <w:rPr>
      <w:rFonts w:ascii="宋体" w:eastAsia="宋体"/>
    </w:rPr>
  </w:style>
  <w:style w:type="paragraph" w:customStyle="1" w:styleId="affffff7">
    <w:name w:val="一级无"/>
    <w:basedOn w:val="a4"/>
    <w:qFormat/>
    <w:rsid w:val="003E2CFB"/>
    <w:pPr>
      <w:spacing w:beforeLines="0" w:afterLines="0"/>
    </w:pPr>
    <w:rPr>
      <w:rFonts w:ascii="宋体" w:eastAsia="宋体"/>
    </w:rPr>
  </w:style>
  <w:style w:type="paragraph" w:customStyle="1" w:styleId="af6">
    <w:name w:val="正文表标题"/>
    <w:next w:val="afff"/>
    <w:qFormat/>
    <w:rsid w:val="003E2CFB"/>
    <w:pPr>
      <w:numPr>
        <w:numId w:val="16"/>
      </w:numPr>
      <w:tabs>
        <w:tab w:val="left" w:pos="360"/>
      </w:tabs>
      <w:spacing w:beforeLines="50" w:afterLines="50"/>
      <w:jc w:val="center"/>
    </w:pPr>
    <w:rPr>
      <w:rFonts w:ascii="黑体" w:eastAsia="黑体"/>
      <w:sz w:val="21"/>
    </w:rPr>
  </w:style>
  <w:style w:type="paragraph" w:customStyle="1" w:styleId="affffff8">
    <w:name w:val="正文公式编号制表符"/>
    <w:basedOn w:val="afff"/>
    <w:next w:val="afff"/>
    <w:qFormat/>
    <w:rsid w:val="003E2CFB"/>
    <w:pPr>
      <w:ind w:firstLineChars="0" w:firstLine="0"/>
    </w:pPr>
  </w:style>
  <w:style w:type="paragraph" w:customStyle="1" w:styleId="af0">
    <w:name w:val="正文图标题"/>
    <w:next w:val="afff"/>
    <w:qFormat/>
    <w:rsid w:val="003E2CFB"/>
    <w:pPr>
      <w:numPr>
        <w:numId w:val="17"/>
      </w:numPr>
      <w:tabs>
        <w:tab w:val="left" w:pos="360"/>
      </w:tabs>
      <w:spacing w:beforeLines="50" w:afterLines="50"/>
      <w:jc w:val="center"/>
    </w:pPr>
    <w:rPr>
      <w:rFonts w:ascii="黑体" w:eastAsia="黑体"/>
      <w:sz w:val="21"/>
    </w:rPr>
  </w:style>
  <w:style w:type="paragraph" w:customStyle="1" w:styleId="affffff9">
    <w:name w:val="终结线"/>
    <w:basedOn w:val="aff2"/>
    <w:qFormat/>
    <w:rsid w:val="003E2CFB"/>
    <w:pPr>
      <w:framePr w:hSpace="181" w:vSpace="181" w:wrap="around" w:vAnchor="text" w:hAnchor="margin" w:xAlign="center" w:y="285"/>
    </w:pPr>
  </w:style>
  <w:style w:type="paragraph" w:customStyle="1" w:styleId="affffffa">
    <w:name w:val="其他发布日期"/>
    <w:basedOn w:val="affff7"/>
    <w:qFormat/>
    <w:rsid w:val="003E2CFB"/>
    <w:pPr>
      <w:framePr w:wrap="around" w:vAnchor="page" w:hAnchor="text" w:x="1419"/>
    </w:pPr>
  </w:style>
  <w:style w:type="paragraph" w:customStyle="1" w:styleId="affffffb">
    <w:name w:val="其他实施日期"/>
    <w:basedOn w:val="affffff"/>
    <w:qFormat/>
    <w:rsid w:val="003E2CFB"/>
    <w:pPr>
      <w:framePr w:wrap="around"/>
    </w:pPr>
  </w:style>
  <w:style w:type="paragraph" w:customStyle="1" w:styleId="22">
    <w:name w:val="封面标准名称2"/>
    <w:basedOn w:val="affff9"/>
    <w:qFormat/>
    <w:rsid w:val="003E2CFB"/>
    <w:pPr>
      <w:framePr w:wrap="around" w:y="4469"/>
      <w:spacing w:beforeLines="630"/>
    </w:pPr>
  </w:style>
  <w:style w:type="paragraph" w:customStyle="1" w:styleId="23">
    <w:name w:val="封面标准英文名称2"/>
    <w:basedOn w:val="affffa"/>
    <w:qFormat/>
    <w:rsid w:val="003E2CFB"/>
    <w:pPr>
      <w:framePr w:wrap="around" w:y="4469"/>
    </w:pPr>
  </w:style>
  <w:style w:type="paragraph" w:customStyle="1" w:styleId="24">
    <w:name w:val="封面一致性程度标识2"/>
    <w:basedOn w:val="affffb"/>
    <w:qFormat/>
    <w:rsid w:val="003E2CFB"/>
    <w:pPr>
      <w:framePr w:wrap="around" w:y="4469"/>
    </w:pPr>
  </w:style>
  <w:style w:type="paragraph" w:customStyle="1" w:styleId="25">
    <w:name w:val="封面标准文稿类别2"/>
    <w:basedOn w:val="affffc"/>
    <w:qFormat/>
    <w:rsid w:val="003E2CFB"/>
    <w:pPr>
      <w:framePr w:wrap="around" w:y="4469"/>
    </w:pPr>
  </w:style>
  <w:style w:type="paragraph" w:customStyle="1" w:styleId="26">
    <w:name w:val="封面标准文稿编辑信息2"/>
    <w:basedOn w:val="affffd"/>
    <w:qFormat/>
    <w:rsid w:val="003E2CFB"/>
    <w:pPr>
      <w:framePr w:wrap="around" w:y="4469"/>
    </w:p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user</dc:creator>
  <cp:lastModifiedBy>J</cp:lastModifiedBy>
  <cp:revision>6</cp:revision>
  <cp:lastPrinted>2025-05-06T22:19:00Z</cp:lastPrinted>
  <dcterms:created xsi:type="dcterms:W3CDTF">2023-07-23T16:50:00Z</dcterms:created>
  <dcterms:modified xsi:type="dcterms:W3CDTF">2026-05-27T06:01:00Z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B45979DAFB837329AFECC9692A611BC6_43</vt:lpwstr>
  </property>
  <property fmtid="{D5CDD505-2E9C-101B-9397-08002B2CF9AE}" pid="4" name="KSOTemplateDocerSaveRecord">
    <vt:lpwstr>eyJoZGlkIjoiNzc4OTc0Y2EyNThiYTlhMmY4ODlkYWZmNTMzY2UyMWUiLCJ1c2VySWQiOiIxODQwNjkzNSJ9</vt:lpwstr>
  </property>
</Properties>
</file>