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3741F9">
      <w:pPr>
        <w:spacing w:line="560" w:lineRule="exact"/>
        <w:rPr>
          <w:rFonts w:cs="仿宋_GB2312"/>
          <w:szCs w:val="40"/>
        </w:rPr>
      </w:pPr>
    </w:p>
    <w:p w14:paraId="1065C343">
      <w:pPr>
        <w:spacing w:line="560" w:lineRule="exact"/>
        <w:jc w:val="center"/>
        <w:rPr>
          <w:rFonts w:eastAsia="方正小标宋简体" w:cs="方正小标宋简体"/>
          <w:sz w:val="44"/>
          <w:szCs w:val="44"/>
        </w:rPr>
      </w:pPr>
      <w:r>
        <w:rPr>
          <w:rFonts w:hint="eastAsia" w:eastAsia="方正小标宋简体" w:cs="方正小标宋简体"/>
          <w:sz w:val="44"/>
          <w:szCs w:val="44"/>
        </w:rPr>
        <w:t>东莞市儿童智能手表产品质量监督抽查</w:t>
      </w:r>
    </w:p>
    <w:p w14:paraId="3188727F">
      <w:pPr>
        <w:spacing w:line="560" w:lineRule="exact"/>
        <w:jc w:val="center"/>
        <w:rPr>
          <w:rFonts w:eastAsia="方正小标宋简体" w:cs="方正小标宋简体"/>
          <w:sz w:val="44"/>
          <w:szCs w:val="44"/>
        </w:rPr>
      </w:pPr>
      <w:r>
        <w:rPr>
          <w:rFonts w:hint="eastAsia" w:eastAsia="方正小标宋简体" w:cs="方正小标宋简体"/>
          <w:sz w:val="44"/>
          <w:szCs w:val="44"/>
        </w:rPr>
        <w:t>实施细则</w:t>
      </w:r>
    </w:p>
    <w:p w14:paraId="50115BD8">
      <w:pPr>
        <w:spacing w:line="560" w:lineRule="exact"/>
        <w:jc w:val="center"/>
        <w:rPr>
          <w:rFonts w:eastAsia="楷体_GB2312" w:cs="楷体_GB2312"/>
          <w:szCs w:val="40"/>
        </w:rPr>
      </w:pPr>
      <w:r>
        <w:rPr>
          <w:rFonts w:hint="eastAsia" w:eastAsia="楷体_GB2312" w:cs="楷体_GB2312"/>
          <w:szCs w:val="40"/>
        </w:rPr>
        <w:t>（2026年版）</w:t>
      </w:r>
    </w:p>
    <w:p w14:paraId="1DBC6359">
      <w:pPr>
        <w:spacing w:line="560" w:lineRule="exact"/>
        <w:rPr>
          <w:rFonts w:cs="仿宋_GB2312"/>
          <w:szCs w:val="40"/>
        </w:rPr>
      </w:pPr>
    </w:p>
    <w:p w14:paraId="744542FD">
      <w:pPr>
        <w:spacing w:line="560" w:lineRule="exact"/>
        <w:ind w:firstLine="640" w:firstLineChars="200"/>
        <w:rPr>
          <w:rFonts w:eastAsia="黑体" w:cs="黑体"/>
          <w:szCs w:val="40"/>
        </w:rPr>
      </w:pPr>
      <w:r>
        <w:rPr>
          <w:rFonts w:hint="eastAsia" w:eastAsia="黑体" w:cs="黑体"/>
          <w:szCs w:val="40"/>
        </w:rPr>
        <w:t>1 抽样方法</w:t>
      </w:r>
    </w:p>
    <w:p w14:paraId="683EA4CA">
      <w:pPr>
        <w:spacing w:line="560" w:lineRule="exact"/>
        <w:ind w:firstLine="640" w:firstLineChars="200"/>
        <w:rPr>
          <w:rFonts w:cs="仿宋_GB2312"/>
          <w:szCs w:val="40"/>
        </w:rPr>
      </w:pPr>
      <w:r>
        <w:rPr>
          <w:rFonts w:hint="eastAsia" w:cs="仿宋_GB2312"/>
          <w:szCs w:val="40"/>
        </w:rPr>
        <w:t>以随机抽样的方式在被抽样生产者、销售者的待销产品中抽取。</w:t>
      </w:r>
    </w:p>
    <w:p w14:paraId="7EEA84B3">
      <w:pPr>
        <w:spacing w:line="560" w:lineRule="exact"/>
        <w:ind w:firstLine="640" w:firstLineChars="200"/>
        <w:rPr>
          <w:rFonts w:cs="仿宋_GB2312"/>
          <w:szCs w:val="40"/>
        </w:rPr>
      </w:pPr>
      <w:r>
        <w:rPr>
          <w:rFonts w:hint="eastAsia" w:cs="仿宋_GB2312"/>
          <w:szCs w:val="40"/>
        </w:rPr>
        <w:t>随机数一般可使用随机数表等方法产生。</w:t>
      </w:r>
    </w:p>
    <w:p w14:paraId="174DF5B5">
      <w:pPr>
        <w:spacing w:line="560" w:lineRule="exact"/>
        <w:ind w:firstLine="640" w:firstLineChars="200"/>
        <w:rPr>
          <w:rFonts w:cs="仿宋_GB2312"/>
          <w:szCs w:val="40"/>
        </w:rPr>
      </w:pPr>
      <w:r>
        <w:rPr>
          <w:rFonts w:hint="eastAsia" w:cs="仿宋_GB2312"/>
          <w:szCs w:val="40"/>
        </w:rPr>
        <w:t>每批次抽样数量3台，其中2台作为检验样品，1台作为备用样品。</w:t>
      </w:r>
    </w:p>
    <w:p w14:paraId="1CA2937C">
      <w:pPr>
        <w:spacing w:line="560" w:lineRule="exact"/>
        <w:jc w:val="center"/>
        <w:rPr>
          <w:rFonts w:cs="仿宋_GB2312"/>
          <w:szCs w:val="40"/>
        </w:rPr>
      </w:pPr>
      <w:r>
        <w:rPr>
          <w:rFonts w:hint="eastAsia" w:cs="仿宋_GB2312"/>
          <w:szCs w:val="40"/>
        </w:rPr>
        <w:t>表1 抽取样品数量</w:t>
      </w:r>
    </w:p>
    <w:tbl>
      <w:tblPr>
        <w:tblStyle w:val="5"/>
        <w:tblW w:w="5093" w:type="pct"/>
        <w:jc w:val="center"/>
        <w:tblBorders>
          <w:top w:val="single" w:color="000000" w:sz="6" w:space="0"/>
          <w:left w:val="single" w:color="000000" w:sz="6" w:space="0"/>
          <w:bottom w:val="none" w:color="auto" w:sz="0" w:space="0"/>
          <w:right w:val="single" w:color="000000" w:sz="6" w:space="0"/>
          <w:insideH w:val="single" w:color="000000" w:sz="2" w:space="0"/>
          <w:insideV w:val="single" w:color="000000" w:sz="2" w:space="0"/>
        </w:tblBorders>
        <w:tblLayout w:type="autofit"/>
        <w:tblCellMar>
          <w:top w:w="0" w:type="dxa"/>
          <w:left w:w="0" w:type="dxa"/>
          <w:bottom w:w="0" w:type="dxa"/>
          <w:right w:w="0" w:type="dxa"/>
        </w:tblCellMar>
      </w:tblPr>
      <w:tblGrid>
        <w:gridCol w:w="740"/>
        <w:gridCol w:w="1872"/>
        <w:gridCol w:w="1753"/>
        <w:gridCol w:w="2045"/>
        <w:gridCol w:w="2061"/>
      </w:tblGrid>
      <w:tr w14:paraId="3D08B979">
        <w:tblPrEx>
          <w:tblBorders>
            <w:top w:val="single" w:color="000000" w:sz="6" w:space="0"/>
            <w:left w:val="single" w:color="000000" w:sz="6" w:space="0"/>
            <w:bottom w:val="none" w:color="auto" w:sz="0"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730" w:hRule="atLeast"/>
          <w:jc w:val="center"/>
        </w:trPr>
        <w:tc>
          <w:tcPr>
            <w:tcW w:w="437" w:type="pct"/>
            <w:tcBorders>
              <w:top w:val="single" w:color="auto" w:sz="4" w:space="0"/>
              <w:left w:val="single" w:color="auto" w:sz="4" w:space="0"/>
              <w:bottom w:val="single" w:color="auto" w:sz="4" w:space="0"/>
              <w:right w:val="single" w:color="auto" w:sz="4" w:space="0"/>
            </w:tcBorders>
            <w:vAlign w:val="center"/>
          </w:tcPr>
          <w:p w14:paraId="483D2EFE">
            <w:pPr>
              <w:spacing w:line="560" w:lineRule="exact"/>
              <w:jc w:val="center"/>
              <w:rPr>
                <w:rFonts w:cs="仿宋_GB2312"/>
                <w:b/>
                <w:bCs/>
                <w:sz w:val="28"/>
                <w:szCs w:val="28"/>
                <w:lang w:bidi="ar"/>
              </w:rPr>
            </w:pPr>
            <w:r>
              <w:rPr>
                <w:rFonts w:hint="eastAsia" w:cs="仿宋_GB2312"/>
                <w:b/>
                <w:bCs/>
                <w:sz w:val="28"/>
                <w:szCs w:val="28"/>
                <w:lang w:bidi="ar"/>
              </w:rPr>
              <w:t>序号</w:t>
            </w:r>
          </w:p>
        </w:tc>
        <w:tc>
          <w:tcPr>
            <w:tcW w:w="1105" w:type="pct"/>
            <w:tcBorders>
              <w:top w:val="single" w:color="auto" w:sz="4" w:space="0"/>
              <w:left w:val="single" w:color="auto" w:sz="4" w:space="0"/>
              <w:bottom w:val="single" w:color="auto" w:sz="4" w:space="0"/>
              <w:right w:val="single" w:color="auto" w:sz="4" w:space="0"/>
            </w:tcBorders>
            <w:vAlign w:val="center"/>
          </w:tcPr>
          <w:p w14:paraId="45EA9814">
            <w:pPr>
              <w:spacing w:line="560" w:lineRule="exact"/>
              <w:jc w:val="center"/>
              <w:rPr>
                <w:rFonts w:cs="仿宋_GB2312"/>
                <w:b/>
                <w:bCs/>
                <w:sz w:val="28"/>
                <w:szCs w:val="28"/>
                <w:lang w:bidi="ar"/>
              </w:rPr>
            </w:pPr>
            <w:r>
              <w:rPr>
                <w:rFonts w:hint="eastAsia" w:cs="仿宋_GB2312"/>
                <w:b/>
                <w:bCs/>
                <w:sz w:val="28"/>
                <w:szCs w:val="28"/>
                <w:lang w:bidi="ar"/>
              </w:rPr>
              <w:t>产品种类</w:t>
            </w:r>
          </w:p>
        </w:tc>
        <w:tc>
          <w:tcPr>
            <w:tcW w:w="1035" w:type="pct"/>
            <w:tcBorders>
              <w:top w:val="single" w:color="auto" w:sz="4" w:space="0"/>
              <w:left w:val="single" w:color="auto" w:sz="4" w:space="0"/>
              <w:bottom w:val="single" w:color="auto" w:sz="4" w:space="0"/>
              <w:right w:val="single" w:color="auto" w:sz="4" w:space="0"/>
            </w:tcBorders>
            <w:vAlign w:val="center"/>
          </w:tcPr>
          <w:p w14:paraId="44E4A13B">
            <w:pPr>
              <w:spacing w:line="560" w:lineRule="exact"/>
              <w:jc w:val="center"/>
              <w:rPr>
                <w:rFonts w:cs="仿宋_GB2312"/>
                <w:b/>
                <w:bCs/>
                <w:sz w:val="28"/>
                <w:szCs w:val="28"/>
                <w:lang w:bidi="ar"/>
              </w:rPr>
            </w:pPr>
            <w:r>
              <w:rPr>
                <w:rFonts w:hint="eastAsia" w:cs="仿宋_GB2312"/>
                <w:b/>
                <w:bCs/>
                <w:sz w:val="28"/>
                <w:szCs w:val="28"/>
                <w:lang w:bidi="ar"/>
              </w:rPr>
              <w:t>抽样数量</w:t>
            </w:r>
          </w:p>
        </w:tc>
        <w:tc>
          <w:tcPr>
            <w:tcW w:w="1207" w:type="pct"/>
            <w:tcBorders>
              <w:top w:val="single" w:color="auto" w:sz="4" w:space="0"/>
              <w:left w:val="single" w:color="auto" w:sz="4" w:space="0"/>
              <w:bottom w:val="single" w:color="auto" w:sz="4" w:space="0"/>
              <w:right w:val="single" w:color="auto" w:sz="4" w:space="0"/>
            </w:tcBorders>
            <w:vAlign w:val="center"/>
          </w:tcPr>
          <w:p w14:paraId="2EF06E06">
            <w:pPr>
              <w:spacing w:line="560" w:lineRule="exact"/>
              <w:jc w:val="center"/>
              <w:rPr>
                <w:rFonts w:cs="仿宋_GB2312"/>
                <w:b/>
                <w:bCs/>
                <w:sz w:val="28"/>
                <w:szCs w:val="28"/>
                <w:lang w:bidi="ar"/>
              </w:rPr>
            </w:pPr>
            <w:r>
              <w:rPr>
                <w:rFonts w:hint="eastAsia" w:cs="仿宋_GB2312"/>
                <w:b/>
                <w:bCs/>
                <w:sz w:val="28"/>
                <w:szCs w:val="28"/>
                <w:lang w:bidi="ar"/>
              </w:rPr>
              <w:t>检验样品数量</w:t>
            </w:r>
          </w:p>
        </w:tc>
        <w:tc>
          <w:tcPr>
            <w:tcW w:w="1216" w:type="pct"/>
            <w:tcBorders>
              <w:top w:val="single" w:color="auto" w:sz="4" w:space="0"/>
              <w:left w:val="single" w:color="auto" w:sz="4" w:space="0"/>
              <w:bottom w:val="single" w:color="auto" w:sz="4" w:space="0"/>
              <w:right w:val="single" w:color="auto" w:sz="4" w:space="0"/>
            </w:tcBorders>
            <w:vAlign w:val="center"/>
          </w:tcPr>
          <w:p w14:paraId="39AB57A2">
            <w:pPr>
              <w:spacing w:line="560" w:lineRule="exact"/>
              <w:jc w:val="center"/>
              <w:rPr>
                <w:rFonts w:cs="仿宋_GB2312"/>
                <w:b/>
                <w:bCs/>
                <w:sz w:val="28"/>
                <w:szCs w:val="28"/>
                <w:lang w:bidi="ar"/>
              </w:rPr>
            </w:pPr>
            <w:r>
              <w:rPr>
                <w:rFonts w:hint="eastAsia" w:cs="仿宋_GB2312"/>
                <w:b/>
                <w:bCs/>
                <w:sz w:val="28"/>
                <w:szCs w:val="28"/>
                <w:lang w:bidi="ar"/>
              </w:rPr>
              <w:t>备用样品数量</w:t>
            </w:r>
          </w:p>
        </w:tc>
      </w:tr>
      <w:tr w14:paraId="2D017AA9">
        <w:tblPrEx>
          <w:tblBorders>
            <w:top w:val="single" w:color="000000" w:sz="6" w:space="0"/>
            <w:left w:val="single" w:color="000000" w:sz="6" w:space="0"/>
            <w:bottom w:val="none" w:color="auto" w:sz="0"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700" w:hRule="atLeast"/>
          <w:jc w:val="center"/>
        </w:trPr>
        <w:tc>
          <w:tcPr>
            <w:tcW w:w="437" w:type="pct"/>
            <w:tcBorders>
              <w:top w:val="single" w:color="auto" w:sz="4" w:space="0"/>
              <w:left w:val="single" w:color="auto" w:sz="4" w:space="0"/>
              <w:bottom w:val="single" w:color="auto" w:sz="4" w:space="0"/>
              <w:right w:val="single" w:color="auto" w:sz="4" w:space="0"/>
            </w:tcBorders>
            <w:vAlign w:val="center"/>
          </w:tcPr>
          <w:p w14:paraId="078CF444">
            <w:pPr>
              <w:spacing w:line="560" w:lineRule="exact"/>
              <w:jc w:val="center"/>
              <w:rPr>
                <w:rFonts w:cs="仿宋_GB2312"/>
                <w:color w:val="000000"/>
                <w:sz w:val="28"/>
                <w:szCs w:val="28"/>
                <w:lang w:bidi="ar"/>
              </w:rPr>
            </w:pPr>
            <w:r>
              <w:rPr>
                <w:rFonts w:hint="eastAsia" w:cs="仿宋_GB2312"/>
                <w:color w:val="000000"/>
                <w:sz w:val="28"/>
                <w:szCs w:val="28"/>
                <w:lang w:bidi="ar"/>
              </w:rPr>
              <w:t>1</w:t>
            </w:r>
          </w:p>
        </w:tc>
        <w:tc>
          <w:tcPr>
            <w:tcW w:w="1105" w:type="pct"/>
            <w:tcBorders>
              <w:top w:val="single" w:color="auto" w:sz="4" w:space="0"/>
              <w:left w:val="single" w:color="auto" w:sz="4" w:space="0"/>
              <w:bottom w:val="single" w:color="auto" w:sz="4" w:space="0"/>
              <w:right w:val="single" w:color="auto" w:sz="4" w:space="0"/>
            </w:tcBorders>
            <w:vAlign w:val="center"/>
          </w:tcPr>
          <w:p w14:paraId="593363E9">
            <w:pPr>
              <w:spacing w:line="560" w:lineRule="exact"/>
              <w:jc w:val="center"/>
              <w:rPr>
                <w:rFonts w:cs="仿宋_GB2312"/>
                <w:color w:val="000000"/>
                <w:sz w:val="28"/>
                <w:szCs w:val="28"/>
                <w:lang w:bidi="ar"/>
              </w:rPr>
            </w:pPr>
            <w:r>
              <w:rPr>
                <w:rFonts w:cs="仿宋_GB2312"/>
                <w:color w:val="000000"/>
                <w:sz w:val="28"/>
                <w:szCs w:val="28"/>
                <w:lang w:bidi="ar"/>
              </w:rPr>
              <w:t>儿童智能手表</w:t>
            </w:r>
          </w:p>
        </w:tc>
        <w:tc>
          <w:tcPr>
            <w:tcW w:w="1035" w:type="pct"/>
            <w:tcBorders>
              <w:top w:val="single" w:color="auto" w:sz="4" w:space="0"/>
              <w:left w:val="single" w:color="auto" w:sz="4" w:space="0"/>
              <w:bottom w:val="single" w:color="auto" w:sz="4" w:space="0"/>
              <w:right w:val="single" w:color="auto" w:sz="4" w:space="0"/>
            </w:tcBorders>
            <w:vAlign w:val="center"/>
          </w:tcPr>
          <w:p w14:paraId="5D665EB7">
            <w:pPr>
              <w:spacing w:line="560" w:lineRule="exact"/>
              <w:jc w:val="center"/>
              <w:rPr>
                <w:rFonts w:cs="仿宋_GB2312"/>
                <w:color w:val="000000"/>
                <w:sz w:val="28"/>
                <w:szCs w:val="28"/>
                <w:lang w:bidi="ar"/>
              </w:rPr>
            </w:pPr>
            <w:r>
              <w:rPr>
                <w:rFonts w:hint="eastAsia" w:cs="仿宋_GB2312"/>
                <w:color w:val="000000"/>
                <w:sz w:val="28"/>
                <w:szCs w:val="28"/>
                <w:lang w:bidi="ar"/>
              </w:rPr>
              <w:t>3</w:t>
            </w:r>
          </w:p>
        </w:tc>
        <w:tc>
          <w:tcPr>
            <w:tcW w:w="1207" w:type="pct"/>
            <w:tcBorders>
              <w:top w:val="single" w:color="auto" w:sz="4" w:space="0"/>
              <w:left w:val="single" w:color="auto" w:sz="4" w:space="0"/>
              <w:bottom w:val="single" w:color="auto" w:sz="4" w:space="0"/>
              <w:right w:val="single" w:color="auto" w:sz="4" w:space="0"/>
            </w:tcBorders>
            <w:vAlign w:val="center"/>
          </w:tcPr>
          <w:p w14:paraId="2062AAAD">
            <w:pPr>
              <w:spacing w:line="560" w:lineRule="exact"/>
              <w:jc w:val="center"/>
              <w:rPr>
                <w:rFonts w:cs="仿宋_GB2312"/>
                <w:color w:val="000000"/>
                <w:sz w:val="28"/>
                <w:szCs w:val="28"/>
                <w:lang w:bidi="ar"/>
              </w:rPr>
            </w:pPr>
            <w:r>
              <w:rPr>
                <w:rFonts w:hint="eastAsia" w:cs="仿宋_GB2312"/>
                <w:color w:val="000000"/>
                <w:sz w:val="28"/>
                <w:szCs w:val="28"/>
                <w:lang w:bidi="ar"/>
              </w:rPr>
              <w:t>2</w:t>
            </w:r>
          </w:p>
        </w:tc>
        <w:tc>
          <w:tcPr>
            <w:tcW w:w="1216" w:type="pct"/>
            <w:tcBorders>
              <w:top w:val="single" w:color="auto" w:sz="4" w:space="0"/>
              <w:left w:val="single" w:color="auto" w:sz="4" w:space="0"/>
              <w:bottom w:val="single" w:color="auto" w:sz="4" w:space="0"/>
              <w:right w:val="single" w:color="auto" w:sz="4" w:space="0"/>
            </w:tcBorders>
            <w:vAlign w:val="center"/>
          </w:tcPr>
          <w:p w14:paraId="416E4B6F">
            <w:pPr>
              <w:spacing w:line="560" w:lineRule="exact"/>
              <w:jc w:val="center"/>
              <w:rPr>
                <w:rFonts w:cs="仿宋_GB2312"/>
                <w:color w:val="000000"/>
                <w:sz w:val="28"/>
                <w:szCs w:val="28"/>
                <w:lang w:bidi="ar"/>
              </w:rPr>
            </w:pPr>
            <w:r>
              <w:rPr>
                <w:rFonts w:hint="eastAsia" w:cs="仿宋_GB2312"/>
                <w:color w:val="000000"/>
                <w:sz w:val="28"/>
                <w:szCs w:val="28"/>
                <w:lang w:bidi="ar"/>
              </w:rPr>
              <w:t>1</w:t>
            </w:r>
          </w:p>
        </w:tc>
      </w:tr>
    </w:tbl>
    <w:p w14:paraId="1C39B9B9">
      <w:pPr>
        <w:spacing w:line="560" w:lineRule="exact"/>
        <w:ind w:firstLine="640" w:firstLineChars="200"/>
        <w:rPr>
          <w:rFonts w:hint="eastAsia" w:ascii="Times New Roman" w:hAnsi="Times New Roman" w:cs="仿宋_GB2312"/>
          <w:szCs w:val="40"/>
        </w:rPr>
      </w:pPr>
      <w:r>
        <w:rPr>
          <w:rFonts w:hint="eastAsia" w:ascii="Times New Roman" w:hAnsi="Times New Roman" w:cs="仿宋_GB2312"/>
          <w:szCs w:val="40"/>
        </w:rPr>
        <w:t>跟踪抽查可以根据不合格项目情况适当减少抽样量（至少包括2个抽样量：1个是检验用，1个是备用），且须经组织监督抽查（或印发监督抽查方案）的市场监管部门同意；跟踪抽查的抽样量须同时符合如下要求：1.原则上跟踪抽查抽样量与上述常规抽查抽样量一致；2.抽样量以库存量为准（且不得多于本细则要求的常规抽查抽样量），且符合“国内待销产品”等要求。</w:t>
      </w:r>
    </w:p>
    <w:p w14:paraId="11CDEEB3">
      <w:pPr>
        <w:spacing w:line="560" w:lineRule="exact"/>
        <w:ind w:firstLine="640" w:firstLineChars="200"/>
        <w:rPr>
          <w:rFonts w:eastAsia="黑体" w:cs="黑体"/>
          <w:szCs w:val="40"/>
        </w:rPr>
      </w:pPr>
      <w:r>
        <w:rPr>
          <w:rFonts w:hint="eastAsia" w:eastAsia="黑体" w:cs="黑体"/>
          <w:szCs w:val="40"/>
        </w:rPr>
        <w:t>2 检验依据</w:t>
      </w:r>
    </w:p>
    <w:tbl>
      <w:tblPr>
        <w:tblStyle w:val="5"/>
        <w:tblW w:w="917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1"/>
        <w:gridCol w:w="4126"/>
        <w:gridCol w:w="4087"/>
      </w:tblGrid>
      <w:tr w14:paraId="611FC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trPr>
        <w:tc>
          <w:tcPr>
            <w:tcW w:w="961" w:type="dxa"/>
            <w:tcBorders>
              <w:top w:val="single" w:color="auto" w:sz="4" w:space="0"/>
              <w:left w:val="single" w:color="auto" w:sz="4" w:space="0"/>
              <w:bottom w:val="single" w:color="auto" w:sz="4" w:space="0"/>
              <w:right w:val="single" w:color="auto" w:sz="4" w:space="0"/>
            </w:tcBorders>
            <w:vAlign w:val="center"/>
          </w:tcPr>
          <w:p w14:paraId="2B7513EC">
            <w:pPr>
              <w:spacing w:line="560" w:lineRule="exact"/>
              <w:jc w:val="center"/>
              <w:rPr>
                <w:rFonts w:cs="仿宋_GB2312"/>
                <w:b/>
                <w:bCs/>
                <w:sz w:val="28"/>
                <w:szCs w:val="28"/>
              </w:rPr>
            </w:pPr>
            <w:r>
              <w:rPr>
                <w:rFonts w:hint="eastAsia" w:cs="仿宋_GB2312"/>
                <w:b/>
                <w:bCs/>
                <w:sz w:val="28"/>
                <w:szCs w:val="28"/>
                <w:lang w:bidi="ar"/>
              </w:rPr>
              <w:t>序号</w:t>
            </w:r>
          </w:p>
        </w:tc>
        <w:tc>
          <w:tcPr>
            <w:tcW w:w="4126" w:type="dxa"/>
            <w:tcBorders>
              <w:top w:val="single" w:color="auto" w:sz="4" w:space="0"/>
              <w:left w:val="single" w:color="auto" w:sz="4" w:space="0"/>
              <w:bottom w:val="single" w:color="auto" w:sz="4" w:space="0"/>
              <w:right w:val="single" w:color="auto" w:sz="4" w:space="0"/>
            </w:tcBorders>
            <w:vAlign w:val="center"/>
          </w:tcPr>
          <w:p w14:paraId="771CD1DB">
            <w:pPr>
              <w:spacing w:line="560" w:lineRule="exact"/>
              <w:jc w:val="center"/>
              <w:rPr>
                <w:rFonts w:cs="仿宋_GB2312"/>
                <w:b/>
                <w:bCs/>
                <w:sz w:val="28"/>
                <w:szCs w:val="28"/>
              </w:rPr>
            </w:pPr>
            <w:r>
              <w:rPr>
                <w:rFonts w:hint="eastAsia" w:cs="仿宋_GB2312"/>
                <w:b/>
                <w:bCs/>
                <w:sz w:val="28"/>
                <w:szCs w:val="28"/>
                <w:lang w:bidi="ar"/>
              </w:rPr>
              <w:t>检验项目</w:t>
            </w:r>
          </w:p>
        </w:tc>
        <w:tc>
          <w:tcPr>
            <w:tcW w:w="4087" w:type="dxa"/>
            <w:tcBorders>
              <w:top w:val="single" w:color="auto" w:sz="4" w:space="0"/>
              <w:left w:val="single" w:color="auto" w:sz="4" w:space="0"/>
              <w:bottom w:val="single" w:color="auto" w:sz="4" w:space="0"/>
              <w:right w:val="single" w:color="auto" w:sz="4" w:space="0"/>
            </w:tcBorders>
            <w:vAlign w:val="center"/>
          </w:tcPr>
          <w:p w14:paraId="283C7D74">
            <w:pPr>
              <w:spacing w:line="560" w:lineRule="exact"/>
              <w:jc w:val="center"/>
              <w:rPr>
                <w:rFonts w:cs="仿宋_GB2312"/>
                <w:b/>
                <w:bCs/>
                <w:sz w:val="28"/>
                <w:szCs w:val="28"/>
              </w:rPr>
            </w:pPr>
            <w:r>
              <w:rPr>
                <w:rFonts w:hint="eastAsia" w:cs="仿宋_GB2312"/>
                <w:b/>
                <w:bCs/>
                <w:sz w:val="28"/>
                <w:szCs w:val="28"/>
                <w:lang w:bidi="ar"/>
              </w:rPr>
              <w:t>检验方法</w:t>
            </w:r>
          </w:p>
        </w:tc>
      </w:tr>
      <w:tr w14:paraId="3B1DB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70510034">
            <w:pPr>
              <w:spacing w:line="560" w:lineRule="exact"/>
              <w:jc w:val="center"/>
              <w:rPr>
                <w:rFonts w:cs="仿宋_GB2312"/>
                <w:color w:val="000000"/>
                <w:sz w:val="28"/>
                <w:szCs w:val="28"/>
                <w:lang w:bidi="ar"/>
              </w:rPr>
            </w:pPr>
            <w:r>
              <w:rPr>
                <w:rFonts w:cs="仿宋_GB2312"/>
                <w:color w:val="000000"/>
                <w:sz w:val="28"/>
                <w:szCs w:val="28"/>
                <w:lang w:bidi="ar"/>
              </w:rPr>
              <w:t>1</w:t>
            </w:r>
          </w:p>
        </w:tc>
        <w:tc>
          <w:tcPr>
            <w:tcW w:w="4126" w:type="dxa"/>
            <w:tcBorders>
              <w:top w:val="single" w:color="auto" w:sz="4" w:space="0"/>
              <w:left w:val="single" w:color="auto" w:sz="4" w:space="0"/>
              <w:bottom w:val="single" w:color="auto" w:sz="4" w:space="0"/>
              <w:right w:val="single" w:color="auto" w:sz="4" w:space="0"/>
            </w:tcBorders>
            <w:vAlign w:val="center"/>
          </w:tcPr>
          <w:p w14:paraId="636C2DC3">
            <w:pPr>
              <w:spacing w:line="560" w:lineRule="exact"/>
              <w:jc w:val="center"/>
              <w:rPr>
                <w:rFonts w:cs="仿宋_GB2312"/>
                <w:color w:val="000000"/>
                <w:sz w:val="28"/>
                <w:szCs w:val="28"/>
                <w:lang w:bidi="ar"/>
              </w:rPr>
            </w:pPr>
            <w:r>
              <w:rPr>
                <w:rFonts w:cs="仿宋_GB2312"/>
                <w:color w:val="000000"/>
                <w:sz w:val="28"/>
                <w:szCs w:val="28"/>
                <w:lang w:bidi="ar"/>
              </w:rPr>
              <w:t>安全防护的强度</w:t>
            </w:r>
          </w:p>
        </w:tc>
        <w:tc>
          <w:tcPr>
            <w:tcW w:w="4087" w:type="dxa"/>
            <w:tcBorders>
              <w:top w:val="single" w:color="auto" w:sz="4" w:space="0"/>
              <w:left w:val="single" w:color="auto" w:sz="4" w:space="0"/>
              <w:bottom w:val="single" w:color="auto" w:sz="4" w:space="0"/>
              <w:right w:val="single" w:color="auto" w:sz="4" w:space="0"/>
            </w:tcBorders>
            <w:vAlign w:val="center"/>
          </w:tcPr>
          <w:p w14:paraId="25895505">
            <w:pPr>
              <w:spacing w:line="560" w:lineRule="exact"/>
              <w:jc w:val="center"/>
              <w:rPr>
                <w:rFonts w:cs="仿宋_GB2312"/>
                <w:color w:val="000000"/>
                <w:sz w:val="28"/>
                <w:szCs w:val="28"/>
                <w:lang w:bidi="ar"/>
              </w:rPr>
            </w:pPr>
            <w:r>
              <w:rPr>
                <w:rFonts w:cs="仿宋_GB2312"/>
                <w:color w:val="000000"/>
                <w:sz w:val="28"/>
                <w:szCs w:val="28"/>
                <w:lang w:bidi="ar"/>
              </w:rPr>
              <w:t>GB 4943.1—2022</w:t>
            </w:r>
          </w:p>
        </w:tc>
      </w:tr>
      <w:tr w14:paraId="02B50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648C664E">
            <w:pPr>
              <w:spacing w:line="560" w:lineRule="exact"/>
              <w:jc w:val="center"/>
              <w:rPr>
                <w:rFonts w:cs="仿宋_GB2312"/>
                <w:color w:val="000000"/>
                <w:sz w:val="28"/>
                <w:szCs w:val="28"/>
                <w:lang w:bidi="ar"/>
              </w:rPr>
            </w:pPr>
            <w:r>
              <w:rPr>
                <w:rFonts w:cs="仿宋_GB2312"/>
                <w:color w:val="000000"/>
                <w:sz w:val="28"/>
                <w:szCs w:val="28"/>
                <w:lang w:bidi="ar"/>
              </w:rPr>
              <w:t>2</w:t>
            </w:r>
          </w:p>
        </w:tc>
        <w:tc>
          <w:tcPr>
            <w:tcW w:w="4126" w:type="dxa"/>
            <w:tcBorders>
              <w:top w:val="single" w:color="auto" w:sz="4" w:space="0"/>
              <w:left w:val="single" w:color="auto" w:sz="4" w:space="0"/>
              <w:bottom w:val="single" w:color="auto" w:sz="4" w:space="0"/>
              <w:right w:val="single" w:color="auto" w:sz="4" w:space="0"/>
            </w:tcBorders>
            <w:vAlign w:val="center"/>
          </w:tcPr>
          <w:p w14:paraId="0EE39ADF">
            <w:pPr>
              <w:spacing w:line="560" w:lineRule="exact"/>
              <w:jc w:val="center"/>
              <w:rPr>
                <w:rFonts w:cs="仿宋_GB2312"/>
                <w:color w:val="000000"/>
                <w:sz w:val="28"/>
                <w:szCs w:val="28"/>
                <w:lang w:bidi="ar"/>
              </w:rPr>
            </w:pPr>
            <w:r>
              <w:rPr>
                <w:rFonts w:cs="仿宋_GB2312"/>
                <w:color w:val="000000"/>
                <w:sz w:val="28"/>
                <w:szCs w:val="28"/>
                <w:lang w:bidi="ar"/>
              </w:rPr>
              <w:t>导体的固定</w:t>
            </w:r>
          </w:p>
        </w:tc>
        <w:tc>
          <w:tcPr>
            <w:tcW w:w="4087" w:type="dxa"/>
            <w:tcBorders>
              <w:top w:val="single" w:color="auto" w:sz="4" w:space="0"/>
              <w:left w:val="single" w:color="auto" w:sz="4" w:space="0"/>
              <w:bottom w:val="single" w:color="auto" w:sz="4" w:space="0"/>
              <w:right w:val="single" w:color="auto" w:sz="4" w:space="0"/>
            </w:tcBorders>
            <w:vAlign w:val="center"/>
          </w:tcPr>
          <w:p w14:paraId="118AE7DC">
            <w:pPr>
              <w:spacing w:line="560" w:lineRule="exact"/>
              <w:jc w:val="center"/>
              <w:rPr>
                <w:rFonts w:cs="仿宋_GB2312"/>
                <w:color w:val="000000"/>
                <w:sz w:val="28"/>
                <w:szCs w:val="28"/>
                <w:lang w:bidi="ar"/>
              </w:rPr>
            </w:pPr>
            <w:r>
              <w:rPr>
                <w:rFonts w:cs="仿宋_GB2312"/>
                <w:color w:val="000000"/>
                <w:sz w:val="28"/>
                <w:szCs w:val="28"/>
                <w:lang w:bidi="ar"/>
              </w:rPr>
              <w:t>GB 4943.1—2022</w:t>
            </w:r>
          </w:p>
        </w:tc>
      </w:tr>
      <w:tr w14:paraId="12413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451964C7">
            <w:pPr>
              <w:spacing w:line="560" w:lineRule="exact"/>
              <w:jc w:val="center"/>
              <w:rPr>
                <w:rFonts w:cs="仿宋_GB2312"/>
                <w:color w:val="000000"/>
                <w:sz w:val="28"/>
                <w:szCs w:val="28"/>
                <w:lang w:bidi="ar"/>
              </w:rPr>
            </w:pPr>
            <w:r>
              <w:rPr>
                <w:rFonts w:cs="仿宋_GB2312"/>
                <w:color w:val="000000"/>
                <w:sz w:val="28"/>
                <w:szCs w:val="28"/>
                <w:lang w:bidi="ar"/>
              </w:rPr>
              <w:t>3</w:t>
            </w:r>
          </w:p>
        </w:tc>
        <w:tc>
          <w:tcPr>
            <w:tcW w:w="4126" w:type="dxa"/>
            <w:tcBorders>
              <w:top w:val="single" w:color="auto" w:sz="4" w:space="0"/>
              <w:left w:val="single" w:color="auto" w:sz="4" w:space="0"/>
              <w:bottom w:val="single" w:color="auto" w:sz="4" w:space="0"/>
              <w:right w:val="single" w:color="auto" w:sz="4" w:space="0"/>
            </w:tcBorders>
            <w:vAlign w:val="center"/>
          </w:tcPr>
          <w:p w14:paraId="58F55A3B">
            <w:pPr>
              <w:spacing w:line="560" w:lineRule="exact"/>
              <w:jc w:val="center"/>
              <w:rPr>
                <w:rFonts w:cs="仿宋_GB2312"/>
                <w:color w:val="000000"/>
                <w:sz w:val="28"/>
                <w:szCs w:val="28"/>
                <w:lang w:bidi="ar"/>
              </w:rPr>
            </w:pPr>
            <w:r>
              <w:rPr>
                <w:rFonts w:cs="仿宋_GB2312"/>
                <w:color w:val="000000"/>
                <w:sz w:val="28"/>
                <w:szCs w:val="28"/>
                <w:lang w:bidi="ar"/>
              </w:rPr>
              <w:t>直接插入电网电源输出插座的设备</w:t>
            </w:r>
          </w:p>
        </w:tc>
        <w:tc>
          <w:tcPr>
            <w:tcW w:w="4087" w:type="dxa"/>
            <w:tcBorders>
              <w:top w:val="single" w:color="auto" w:sz="4" w:space="0"/>
              <w:left w:val="single" w:color="auto" w:sz="4" w:space="0"/>
              <w:bottom w:val="single" w:color="auto" w:sz="4" w:space="0"/>
              <w:right w:val="single" w:color="auto" w:sz="4" w:space="0"/>
            </w:tcBorders>
            <w:vAlign w:val="center"/>
          </w:tcPr>
          <w:p w14:paraId="406BC23B">
            <w:pPr>
              <w:spacing w:line="560" w:lineRule="exact"/>
              <w:jc w:val="center"/>
              <w:rPr>
                <w:rFonts w:cs="仿宋_GB2312"/>
                <w:color w:val="000000"/>
                <w:sz w:val="28"/>
                <w:szCs w:val="28"/>
                <w:lang w:bidi="ar"/>
              </w:rPr>
            </w:pPr>
            <w:r>
              <w:rPr>
                <w:rFonts w:cs="仿宋_GB2312"/>
                <w:color w:val="000000"/>
                <w:sz w:val="28"/>
                <w:szCs w:val="28"/>
                <w:lang w:bidi="ar"/>
              </w:rPr>
              <w:t>GB 4943.1—2022</w:t>
            </w:r>
          </w:p>
        </w:tc>
      </w:tr>
      <w:tr w14:paraId="68326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00A6F9D8">
            <w:pPr>
              <w:spacing w:line="560" w:lineRule="exact"/>
              <w:jc w:val="center"/>
              <w:rPr>
                <w:rFonts w:cs="仿宋_GB2312"/>
                <w:color w:val="000000"/>
                <w:sz w:val="28"/>
                <w:szCs w:val="28"/>
                <w:lang w:bidi="ar"/>
              </w:rPr>
            </w:pPr>
            <w:r>
              <w:rPr>
                <w:rFonts w:cs="仿宋_GB2312"/>
                <w:color w:val="000000"/>
                <w:sz w:val="28"/>
                <w:szCs w:val="28"/>
                <w:lang w:bidi="ar"/>
              </w:rPr>
              <w:t>4</w:t>
            </w:r>
          </w:p>
        </w:tc>
        <w:tc>
          <w:tcPr>
            <w:tcW w:w="4126" w:type="dxa"/>
            <w:tcBorders>
              <w:top w:val="single" w:color="auto" w:sz="4" w:space="0"/>
              <w:left w:val="single" w:color="auto" w:sz="4" w:space="0"/>
              <w:bottom w:val="single" w:color="auto" w:sz="4" w:space="0"/>
              <w:right w:val="single" w:color="auto" w:sz="4" w:space="0"/>
            </w:tcBorders>
            <w:vAlign w:val="center"/>
          </w:tcPr>
          <w:p w14:paraId="0A310CEB">
            <w:pPr>
              <w:spacing w:line="560" w:lineRule="exact"/>
              <w:jc w:val="center"/>
              <w:rPr>
                <w:rFonts w:cs="仿宋_GB2312"/>
                <w:color w:val="000000"/>
                <w:sz w:val="28"/>
                <w:szCs w:val="28"/>
                <w:lang w:bidi="ar"/>
              </w:rPr>
            </w:pPr>
            <w:r>
              <w:rPr>
                <w:rFonts w:cs="仿宋_GB2312"/>
                <w:color w:val="000000"/>
                <w:sz w:val="28"/>
                <w:szCs w:val="28"/>
                <w:lang w:bidi="ar"/>
              </w:rPr>
              <w:t>电能量源的防护</w:t>
            </w:r>
          </w:p>
        </w:tc>
        <w:tc>
          <w:tcPr>
            <w:tcW w:w="4087" w:type="dxa"/>
            <w:tcBorders>
              <w:top w:val="single" w:color="auto" w:sz="4" w:space="0"/>
              <w:left w:val="single" w:color="auto" w:sz="4" w:space="0"/>
              <w:bottom w:val="single" w:color="auto" w:sz="4" w:space="0"/>
              <w:right w:val="single" w:color="auto" w:sz="4" w:space="0"/>
            </w:tcBorders>
            <w:vAlign w:val="center"/>
          </w:tcPr>
          <w:p w14:paraId="5A0AB31A">
            <w:pPr>
              <w:spacing w:line="560" w:lineRule="exact"/>
              <w:jc w:val="center"/>
              <w:rPr>
                <w:rFonts w:cs="仿宋_GB2312"/>
                <w:color w:val="000000"/>
                <w:sz w:val="28"/>
                <w:szCs w:val="28"/>
                <w:lang w:bidi="ar"/>
              </w:rPr>
            </w:pPr>
            <w:r>
              <w:rPr>
                <w:rFonts w:cs="仿宋_GB2312"/>
                <w:color w:val="000000"/>
                <w:sz w:val="28"/>
                <w:szCs w:val="28"/>
                <w:lang w:bidi="ar"/>
              </w:rPr>
              <w:t>GB 4943.1—2022</w:t>
            </w:r>
          </w:p>
        </w:tc>
      </w:tr>
      <w:tr w14:paraId="702D6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7EBBC849">
            <w:pPr>
              <w:spacing w:line="560" w:lineRule="exact"/>
              <w:jc w:val="center"/>
              <w:rPr>
                <w:rFonts w:cs="仿宋_GB2312"/>
                <w:color w:val="000000"/>
                <w:sz w:val="28"/>
                <w:szCs w:val="28"/>
                <w:lang w:bidi="ar"/>
              </w:rPr>
            </w:pPr>
            <w:r>
              <w:rPr>
                <w:rFonts w:cs="仿宋_GB2312"/>
                <w:color w:val="000000"/>
                <w:sz w:val="28"/>
                <w:szCs w:val="28"/>
                <w:lang w:bidi="ar"/>
              </w:rPr>
              <w:t>5</w:t>
            </w:r>
          </w:p>
        </w:tc>
        <w:tc>
          <w:tcPr>
            <w:tcW w:w="4126" w:type="dxa"/>
            <w:tcBorders>
              <w:top w:val="single" w:color="auto" w:sz="4" w:space="0"/>
              <w:left w:val="single" w:color="auto" w:sz="4" w:space="0"/>
              <w:bottom w:val="single" w:color="auto" w:sz="4" w:space="0"/>
              <w:right w:val="single" w:color="auto" w:sz="4" w:space="0"/>
            </w:tcBorders>
            <w:vAlign w:val="center"/>
          </w:tcPr>
          <w:p w14:paraId="092E751C">
            <w:pPr>
              <w:spacing w:line="560" w:lineRule="exact"/>
              <w:jc w:val="center"/>
              <w:rPr>
                <w:rFonts w:cs="仿宋_GB2312"/>
                <w:color w:val="000000"/>
                <w:sz w:val="28"/>
                <w:szCs w:val="28"/>
                <w:lang w:bidi="ar"/>
              </w:rPr>
            </w:pPr>
            <w:r>
              <w:rPr>
                <w:rFonts w:cs="仿宋_GB2312"/>
                <w:color w:val="000000"/>
                <w:sz w:val="28"/>
                <w:szCs w:val="28"/>
                <w:lang w:bidi="ar"/>
              </w:rPr>
              <w:t>直接安装导电金属零部件的热塑性零部件</w:t>
            </w:r>
          </w:p>
        </w:tc>
        <w:tc>
          <w:tcPr>
            <w:tcW w:w="4087" w:type="dxa"/>
            <w:tcBorders>
              <w:top w:val="single" w:color="auto" w:sz="4" w:space="0"/>
              <w:left w:val="single" w:color="auto" w:sz="4" w:space="0"/>
              <w:bottom w:val="single" w:color="auto" w:sz="4" w:space="0"/>
              <w:right w:val="single" w:color="auto" w:sz="4" w:space="0"/>
            </w:tcBorders>
            <w:vAlign w:val="center"/>
          </w:tcPr>
          <w:p w14:paraId="1FB9AF87">
            <w:pPr>
              <w:spacing w:line="560" w:lineRule="exact"/>
              <w:jc w:val="center"/>
              <w:rPr>
                <w:rFonts w:cs="仿宋_GB2312"/>
                <w:color w:val="000000"/>
                <w:sz w:val="28"/>
                <w:szCs w:val="28"/>
                <w:lang w:bidi="ar"/>
              </w:rPr>
            </w:pPr>
            <w:r>
              <w:rPr>
                <w:rFonts w:cs="仿宋_GB2312"/>
                <w:color w:val="000000"/>
                <w:sz w:val="28"/>
                <w:szCs w:val="28"/>
                <w:lang w:bidi="ar"/>
              </w:rPr>
              <w:t>GB 4943.1—2022</w:t>
            </w:r>
          </w:p>
        </w:tc>
      </w:tr>
      <w:tr w14:paraId="7AC5E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41EE6EF0">
            <w:pPr>
              <w:spacing w:line="560" w:lineRule="exact"/>
              <w:jc w:val="center"/>
              <w:rPr>
                <w:rFonts w:cs="仿宋_GB2312"/>
                <w:color w:val="000000"/>
                <w:sz w:val="28"/>
                <w:szCs w:val="28"/>
                <w:lang w:bidi="ar"/>
              </w:rPr>
            </w:pPr>
            <w:r>
              <w:rPr>
                <w:rFonts w:cs="仿宋_GB2312"/>
                <w:color w:val="000000"/>
                <w:sz w:val="28"/>
                <w:szCs w:val="28"/>
                <w:lang w:bidi="ar"/>
              </w:rPr>
              <w:t>6</w:t>
            </w:r>
          </w:p>
        </w:tc>
        <w:tc>
          <w:tcPr>
            <w:tcW w:w="4126" w:type="dxa"/>
            <w:tcBorders>
              <w:top w:val="single" w:color="auto" w:sz="4" w:space="0"/>
              <w:left w:val="single" w:color="auto" w:sz="4" w:space="0"/>
              <w:bottom w:val="single" w:color="auto" w:sz="4" w:space="0"/>
              <w:right w:val="single" w:color="auto" w:sz="4" w:space="0"/>
            </w:tcBorders>
            <w:vAlign w:val="center"/>
          </w:tcPr>
          <w:p w14:paraId="71E223A5">
            <w:pPr>
              <w:spacing w:line="560" w:lineRule="exact"/>
              <w:jc w:val="center"/>
              <w:rPr>
                <w:rFonts w:cs="仿宋_GB2312"/>
                <w:color w:val="000000"/>
                <w:sz w:val="28"/>
                <w:szCs w:val="28"/>
                <w:lang w:bidi="ar"/>
              </w:rPr>
            </w:pPr>
            <w:r>
              <w:rPr>
                <w:rFonts w:cs="仿宋_GB2312"/>
                <w:color w:val="000000"/>
                <w:sz w:val="28"/>
                <w:szCs w:val="28"/>
                <w:lang w:bidi="ar"/>
              </w:rPr>
              <w:t>电气间隙</w:t>
            </w:r>
          </w:p>
        </w:tc>
        <w:tc>
          <w:tcPr>
            <w:tcW w:w="4087" w:type="dxa"/>
            <w:tcBorders>
              <w:top w:val="single" w:color="auto" w:sz="4" w:space="0"/>
              <w:left w:val="single" w:color="auto" w:sz="4" w:space="0"/>
              <w:bottom w:val="single" w:color="auto" w:sz="4" w:space="0"/>
              <w:right w:val="single" w:color="auto" w:sz="4" w:space="0"/>
            </w:tcBorders>
            <w:vAlign w:val="center"/>
          </w:tcPr>
          <w:p w14:paraId="7538B3BC">
            <w:pPr>
              <w:spacing w:line="560" w:lineRule="exact"/>
              <w:jc w:val="center"/>
              <w:rPr>
                <w:rFonts w:cs="仿宋_GB2312"/>
                <w:color w:val="000000"/>
                <w:sz w:val="28"/>
                <w:szCs w:val="28"/>
                <w:lang w:bidi="ar"/>
              </w:rPr>
            </w:pPr>
            <w:r>
              <w:rPr>
                <w:rFonts w:cs="仿宋_GB2312"/>
                <w:color w:val="000000"/>
                <w:sz w:val="28"/>
                <w:szCs w:val="28"/>
                <w:lang w:bidi="ar"/>
              </w:rPr>
              <w:t>GB 4943.1—2022</w:t>
            </w:r>
          </w:p>
        </w:tc>
      </w:tr>
      <w:tr w14:paraId="0CABF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0EE40D8D">
            <w:pPr>
              <w:spacing w:line="560" w:lineRule="exact"/>
              <w:jc w:val="center"/>
              <w:rPr>
                <w:rFonts w:cs="仿宋_GB2312"/>
                <w:color w:val="000000"/>
                <w:sz w:val="28"/>
                <w:szCs w:val="28"/>
                <w:lang w:bidi="ar"/>
              </w:rPr>
            </w:pPr>
            <w:r>
              <w:rPr>
                <w:rFonts w:cs="仿宋_GB2312"/>
                <w:color w:val="000000"/>
                <w:sz w:val="28"/>
                <w:szCs w:val="28"/>
                <w:lang w:bidi="ar"/>
              </w:rPr>
              <w:t>7</w:t>
            </w:r>
          </w:p>
        </w:tc>
        <w:tc>
          <w:tcPr>
            <w:tcW w:w="4126" w:type="dxa"/>
            <w:tcBorders>
              <w:top w:val="single" w:color="auto" w:sz="4" w:space="0"/>
              <w:left w:val="single" w:color="auto" w:sz="4" w:space="0"/>
              <w:bottom w:val="single" w:color="auto" w:sz="4" w:space="0"/>
              <w:right w:val="single" w:color="auto" w:sz="4" w:space="0"/>
            </w:tcBorders>
            <w:vAlign w:val="center"/>
          </w:tcPr>
          <w:p w14:paraId="5654FF82">
            <w:pPr>
              <w:spacing w:line="560" w:lineRule="exact"/>
              <w:jc w:val="center"/>
              <w:rPr>
                <w:rFonts w:cs="仿宋_GB2312"/>
                <w:color w:val="000000"/>
                <w:sz w:val="28"/>
                <w:szCs w:val="28"/>
                <w:lang w:bidi="ar"/>
              </w:rPr>
            </w:pPr>
            <w:r>
              <w:rPr>
                <w:rFonts w:cs="仿宋_GB2312"/>
                <w:color w:val="000000"/>
                <w:sz w:val="28"/>
                <w:szCs w:val="28"/>
                <w:lang w:bidi="ar"/>
              </w:rPr>
              <w:t>爬电距离</w:t>
            </w:r>
          </w:p>
        </w:tc>
        <w:tc>
          <w:tcPr>
            <w:tcW w:w="4087" w:type="dxa"/>
            <w:tcBorders>
              <w:top w:val="single" w:color="auto" w:sz="4" w:space="0"/>
              <w:left w:val="single" w:color="auto" w:sz="4" w:space="0"/>
              <w:bottom w:val="single" w:color="auto" w:sz="4" w:space="0"/>
              <w:right w:val="single" w:color="auto" w:sz="4" w:space="0"/>
            </w:tcBorders>
            <w:vAlign w:val="center"/>
          </w:tcPr>
          <w:p w14:paraId="407778BD">
            <w:pPr>
              <w:spacing w:line="560" w:lineRule="exact"/>
              <w:jc w:val="center"/>
              <w:rPr>
                <w:rFonts w:cs="仿宋_GB2312"/>
                <w:color w:val="000000"/>
                <w:sz w:val="28"/>
                <w:szCs w:val="28"/>
                <w:lang w:bidi="ar"/>
              </w:rPr>
            </w:pPr>
            <w:r>
              <w:rPr>
                <w:rFonts w:cs="仿宋_GB2312"/>
                <w:color w:val="000000"/>
                <w:sz w:val="28"/>
                <w:szCs w:val="28"/>
                <w:lang w:bidi="ar"/>
              </w:rPr>
              <w:t>GB 4943.1—2022</w:t>
            </w:r>
          </w:p>
        </w:tc>
      </w:tr>
      <w:tr w14:paraId="0864D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29C1F3E4">
            <w:pPr>
              <w:spacing w:line="560" w:lineRule="exact"/>
              <w:jc w:val="center"/>
              <w:rPr>
                <w:rFonts w:cs="仿宋_GB2312"/>
                <w:color w:val="000000"/>
                <w:sz w:val="28"/>
                <w:szCs w:val="28"/>
                <w:lang w:bidi="ar"/>
              </w:rPr>
            </w:pPr>
            <w:r>
              <w:rPr>
                <w:rFonts w:cs="仿宋_GB2312"/>
                <w:color w:val="000000"/>
                <w:sz w:val="28"/>
                <w:szCs w:val="28"/>
                <w:lang w:bidi="ar"/>
              </w:rPr>
              <w:t>8</w:t>
            </w:r>
          </w:p>
        </w:tc>
        <w:tc>
          <w:tcPr>
            <w:tcW w:w="4126" w:type="dxa"/>
            <w:tcBorders>
              <w:top w:val="single" w:color="auto" w:sz="4" w:space="0"/>
              <w:left w:val="single" w:color="auto" w:sz="4" w:space="0"/>
              <w:bottom w:val="single" w:color="auto" w:sz="4" w:space="0"/>
              <w:right w:val="single" w:color="auto" w:sz="4" w:space="0"/>
            </w:tcBorders>
            <w:vAlign w:val="center"/>
          </w:tcPr>
          <w:p w14:paraId="3B3EE1F5">
            <w:pPr>
              <w:spacing w:line="560" w:lineRule="exact"/>
              <w:jc w:val="center"/>
              <w:rPr>
                <w:rFonts w:cs="仿宋_GB2312"/>
                <w:color w:val="000000"/>
                <w:sz w:val="28"/>
                <w:szCs w:val="28"/>
                <w:lang w:bidi="ar"/>
              </w:rPr>
            </w:pPr>
            <w:r>
              <w:rPr>
                <w:rFonts w:cs="仿宋_GB2312"/>
                <w:color w:val="000000"/>
                <w:sz w:val="28"/>
                <w:szCs w:val="28"/>
                <w:lang w:bidi="ar"/>
              </w:rPr>
              <w:t>抗电强度</w:t>
            </w:r>
            <w:r>
              <w:rPr>
                <w:rFonts w:hint="eastAsia" w:cs="仿宋_GB2312"/>
                <w:color w:val="000000"/>
                <w:sz w:val="28"/>
                <w:szCs w:val="28"/>
                <w:lang w:bidi="ar"/>
              </w:rPr>
              <w:t>试验</w:t>
            </w:r>
          </w:p>
        </w:tc>
        <w:tc>
          <w:tcPr>
            <w:tcW w:w="4087" w:type="dxa"/>
            <w:tcBorders>
              <w:top w:val="single" w:color="auto" w:sz="4" w:space="0"/>
              <w:left w:val="single" w:color="auto" w:sz="4" w:space="0"/>
              <w:bottom w:val="single" w:color="auto" w:sz="4" w:space="0"/>
              <w:right w:val="single" w:color="auto" w:sz="4" w:space="0"/>
            </w:tcBorders>
            <w:vAlign w:val="center"/>
          </w:tcPr>
          <w:p w14:paraId="36CBBE96">
            <w:pPr>
              <w:spacing w:line="560" w:lineRule="exact"/>
              <w:jc w:val="center"/>
              <w:rPr>
                <w:rFonts w:cs="仿宋_GB2312"/>
                <w:color w:val="000000"/>
                <w:sz w:val="28"/>
                <w:szCs w:val="28"/>
                <w:lang w:bidi="ar"/>
              </w:rPr>
            </w:pPr>
            <w:r>
              <w:rPr>
                <w:rFonts w:cs="仿宋_GB2312"/>
                <w:color w:val="000000"/>
                <w:sz w:val="28"/>
                <w:szCs w:val="28"/>
                <w:lang w:bidi="ar"/>
              </w:rPr>
              <w:t>GB 4943.1—2022</w:t>
            </w:r>
          </w:p>
        </w:tc>
      </w:tr>
      <w:tr w14:paraId="611D8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77CEACC2">
            <w:pPr>
              <w:spacing w:line="560" w:lineRule="exact"/>
              <w:jc w:val="center"/>
              <w:rPr>
                <w:rFonts w:cs="仿宋_GB2312"/>
                <w:color w:val="000000"/>
                <w:sz w:val="28"/>
                <w:szCs w:val="28"/>
                <w:lang w:bidi="ar"/>
              </w:rPr>
            </w:pPr>
            <w:r>
              <w:rPr>
                <w:rFonts w:cs="仿宋_GB2312"/>
                <w:color w:val="000000"/>
                <w:sz w:val="28"/>
                <w:szCs w:val="28"/>
                <w:lang w:bidi="ar"/>
              </w:rPr>
              <w:t>9</w:t>
            </w:r>
          </w:p>
        </w:tc>
        <w:tc>
          <w:tcPr>
            <w:tcW w:w="4126" w:type="dxa"/>
            <w:tcBorders>
              <w:top w:val="single" w:color="auto" w:sz="4" w:space="0"/>
              <w:left w:val="single" w:color="auto" w:sz="4" w:space="0"/>
              <w:bottom w:val="single" w:color="auto" w:sz="4" w:space="0"/>
              <w:right w:val="single" w:color="auto" w:sz="4" w:space="0"/>
            </w:tcBorders>
            <w:vAlign w:val="center"/>
          </w:tcPr>
          <w:p w14:paraId="12B63680">
            <w:pPr>
              <w:spacing w:line="560" w:lineRule="exact"/>
              <w:jc w:val="center"/>
              <w:rPr>
                <w:rFonts w:cs="仿宋_GB2312"/>
                <w:color w:val="000000"/>
                <w:sz w:val="28"/>
                <w:szCs w:val="28"/>
                <w:lang w:bidi="ar"/>
              </w:rPr>
            </w:pPr>
            <w:r>
              <w:rPr>
                <w:rFonts w:hint="eastAsia" w:cs="仿宋_GB2312"/>
                <w:color w:val="000000"/>
                <w:sz w:val="28"/>
                <w:szCs w:val="28"/>
                <w:lang w:bidi="ar"/>
              </w:rPr>
              <w:t>热灼伤（</w:t>
            </w:r>
            <w:r>
              <w:rPr>
                <w:rFonts w:cs="仿宋_GB2312"/>
                <w:color w:val="000000"/>
                <w:sz w:val="28"/>
                <w:szCs w:val="28"/>
                <w:lang w:bidi="ar"/>
              </w:rPr>
              <w:t>接触温度限值</w:t>
            </w:r>
            <w:r>
              <w:rPr>
                <w:rFonts w:hint="eastAsia" w:cs="仿宋_GB2312"/>
                <w:color w:val="000000"/>
                <w:sz w:val="28"/>
                <w:szCs w:val="28"/>
                <w:lang w:bidi="ar"/>
              </w:rPr>
              <w:t>）</w:t>
            </w:r>
          </w:p>
        </w:tc>
        <w:tc>
          <w:tcPr>
            <w:tcW w:w="4087" w:type="dxa"/>
            <w:tcBorders>
              <w:top w:val="single" w:color="auto" w:sz="4" w:space="0"/>
              <w:left w:val="single" w:color="auto" w:sz="4" w:space="0"/>
              <w:bottom w:val="single" w:color="auto" w:sz="4" w:space="0"/>
              <w:right w:val="single" w:color="auto" w:sz="4" w:space="0"/>
            </w:tcBorders>
            <w:vAlign w:val="center"/>
          </w:tcPr>
          <w:p w14:paraId="0F0C9B06">
            <w:pPr>
              <w:spacing w:line="560" w:lineRule="exact"/>
              <w:jc w:val="center"/>
              <w:rPr>
                <w:rFonts w:cs="仿宋_GB2312"/>
                <w:color w:val="000000"/>
                <w:sz w:val="28"/>
                <w:szCs w:val="28"/>
                <w:lang w:bidi="ar"/>
              </w:rPr>
            </w:pPr>
            <w:r>
              <w:rPr>
                <w:rFonts w:cs="仿宋_GB2312"/>
                <w:color w:val="000000"/>
                <w:sz w:val="28"/>
                <w:szCs w:val="28"/>
                <w:lang w:bidi="ar"/>
              </w:rPr>
              <w:t>GB 4943.1—2022</w:t>
            </w:r>
          </w:p>
        </w:tc>
      </w:tr>
      <w:tr w14:paraId="3FA19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5176FDD6">
            <w:pPr>
              <w:spacing w:line="560" w:lineRule="exact"/>
              <w:jc w:val="center"/>
              <w:rPr>
                <w:rFonts w:cs="仿宋_GB2312"/>
                <w:color w:val="000000"/>
                <w:sz w:val="28"/>
                <w:szCs w:val="28"/>
                <w:lang w:bidi="ar"/>
              </w:rPr>
            </w:pPr>
            <w:r>
              <w:rPr>
                <w:rFonts w:hint="eastAsia" w:cs="仿宋_GB2312"/>
                <w:color w:val="000000"/>
                <w:sz w:val="28"/>
                <w:szCs w:val="28"/>
                <w:lang w:bidi="ar"/>
              </w:rPr>
              <w:t>10</w:t>
            </w:r>
          </w:p>
        </w:tc>
        <w:tc>
          <w:tcPr>
            <w:tcW w:w="4126" w:type="dxa"/>
            <w:tcBorders>
              <w:top w:val="single" w:color="auto" w:sz="4" w:space="0"/>
              <w:left w:val="single" w:color="auto" w:sz="4" w:space="0"/>
              <w:bottom w:val="single" w:color="auto" w:sz="4" w:space="0"/>
              <w:right w:val="single" w:color="auto" w:sz="4" w:space="0"/>
            </w:tcBorders>
            <w:vAlign w:val="center"/>
          </w:tcPr>
          <w:p w14:paraId="36CE6D0A">
            <w:pPr>
              <w:spacing w:line="560" w:lineRule="exact"/>
              <w:jc w:val="center"/>
              <w:rPr>
                <w:rFonts w:cs="仿宋_GB2312"/>
                <w:color w:val="000000"/>
                <w:sz w:val="28"/>
                <w:szCs w:val="28"/>
                <w:lang w:bidi="ar"/>
              </w:rPr>
            </w:pPr>
            <w:r>
              <w:rPr>
                <w:rFonts w:cs="仿宋_GB2312"/>
                <w:color w:val="000000"/>
                <w:sz w:val="28"/>
                <w:szCs w:val="28"/>
                <w:lang w:bidi="ar"/>
              </w:rPr>
              <w:t>辐射杂散骚扰</w:t>
            </w:r>
          </w:p>
        </w:tc>
        <w:tc>
          <w:tcPr>
            <w:tcW w:w="4087" w:type="dxa"/>
            <w:tcBorders>
              <w:top w:val="single" w:color="auto" w:sz="4" w:space="0"/>
              <w:left w:val="single" w:color="auto" w:sz="4" w:space="0"/>
              <w:bottom w:val="single" w:color="auto" w:sz="4" w:space="0"/>
              <w:right w:val="single" w:color="auto" w:sz="4" w:space="0"/>
            </w:tcBorders>
            <w:vAlign w:val="center"/>
          </w:tcPr>
          <w:p w14:paraId="7E511EDF">
            <w:pPr>
              <w:widowControl/>
              <w:snapToGrid w:val="0"/>
              <w:spacing w:line="560" w:lineRule="exact"/>
              <w:jc w:val="center"/>
              <w:rPr>
                <w:rFonts w:cs="仿宋_GB2312"/>
                <w:color w:val="000000"/>
                <w:sz w:val="28"/>
                <w:szCs w:val="28"/>
                <w:lang w:bidi="ar"/>
              </w:rPr>
            </w:pPr>
            <w:r>
              <w:rPr>
                <w:rFonts w:cs="仿宋_GB2312"/>
                <w:color w:val="000000"/>
                <w:sz w:val="28"/>
                <w:szCs w:val="28"/>
                <w:lang w:bidi="ar"/>
              </w:rPr>
              <w:t xml:space="preserve">GB/T 22450.1—2008 </w:t>
            </w:r>
          </w:p>
          <w:p w14:paraId="31087C4D">
            <w:pPr>
              <w:widowControl/>
              <w:snapToGrid w:val="0"/>
              <w:spacing w:line="560" w:lineRule="exact"/>
              <w:jc w:val="center"/>
              <w:rPr>
                <w:rFonts w:cs="仿宋_GB2312"/>
                <w:color w:val="000000"/>
                <w:sz w:val="28"/>
                <w:szCs w:val="28"/>
                <w:lang w:bidi="ar"/>
              </w:rPr>
            </w:pPr>
            <w:r>
              <w:rPr>
                <w:rFonts w:cs="仿宋_GB2312"/>
                <w:color w:val="000000"/>
                <w:sz w:val="28"/>
                <w:szCs w:val="28"/>
                <w:lang w:bidi="ar"/>
              </w:rPr>
              <w:t xml:space="preserve">GB/T 19484.1—2013 </w:t>
            </w:r>
          </w:p>
          <w:p w14:paraId="1DEE96DF">
            <w:pPr>
              <w:widowControl/>
              <w:snapToGrid w:val="0"/>
              <w:spacing w:line="560" w:lineRule="exact"/>
              <w:jc w:val="center"/>
              <w:rPr>
                <w:rFonts w:cs="仿宋_GB2312"/>
                <w:color w:val="000000"/>
                <w:sz w:val="28"/>
                <w:szCs w:val="28"/>
                <w:lang w:bidi="ar"/>
              </w:rPr>
            </w:pPr>
            <w:r>
              <w:rPr>
                <w:rFonts w:cs="仿宋_GB2312"/>
                <w:color w:val="000000"/>
                <w:sz w:val="28"/>
                <w:szCs w:val="28"/>
                <w:lang w:bidi="ar"/>
              </w:rPr>
              <w:t xml:space="preserve">YD/T 1595.1—2012 </w:t>
            </w:r>
          </w:p>
          <w:p w14:paraId="444A598A">
            <w:pPr>
              <w:widowControl/>
              <w:snapToGrid w:val="0"/>
              <w:spacing w:line="560" w:lineRule="exact"/>
              <w:jc w:val="center"/>
              <w:rPr>
                <w:rFonts w:cs="仿宋_GB2312"/>
                <w:color w:val="000000"/>
                <w:sz w:val="28"/>
                <w:szCs w:val="28"/>
                <w:lang w:bidi="ar"/>
              </w:rPr>
            </w:pPr>
            <w:r>
              <w:rPr>
                <w:rFonts w:cs="仿宋_GB2312"/>
                <w:color w:val="000000"/>
                <w:sz w:val="28"/>
                <w:szCs w:val="28"/>
                <w:lang w:bidi="ar"/>
              </w:rPr>
              <w:t xml:space="preserve">YD/T 1592.1—2012 </w:t>
            </w:r>
          </w:p>
          <w:p w14:paraId="05C68676">
            <w:pPr>
              <w:widowControl/>
              <w:snapToGrid w:val="0"/>
              <w:spacing w:line="560" w:lineRule="exact"/>
              <w:jc w:val="center"/>
              <w:rPr>
                <w:rFonts w:cs="仿宋_GB2312"/>
                <w:color w:val="000000"/>
                <w:sz w:val="28"/>
                <w:szCs w:val="28"/>
                <w:lang w:bidi="ar"/>
              </w:rPr>
            </w:pPr>
            <w:r>
              <w:rPr>
                <w:rFonts w:cs="仿宋_GB2312"/>
                <w:color w:val="000000"/>
                <w:sz w:val="28"/>
                <w:szCs w:val="28"/>
                <w:lang w:bidi="ar"/>
              </w:rPr>
              <w:t xml:space="preserve">YD/T 2583.14—2013 </w:t>
            </w:r>
          </w:p>
          <w:p w14:paraId="0D7E4630">
            <w:pPr>
              <w:spacing w:line="560" w:lineRule="exact"/>
              <w:jc w:val="center"/>
              <w:rPr>
                <w:rFonts w:cs="仿宋_GB2312"/>
                <w:color w:val="000000"/>
                <w:sz w:val="28"/>
                <w:szCs w:val="28"/>
                <w:lang w:bidi="ar"/>
              </w:rPr>
            </w:pPr>
            <w:r>
              <w:rPr>
                <w:rFonts w:cs="仿宋_GB2312"/>
                <w:color w:val="000000"/>
                <w:sz w:val="28"/>
                <w:szCs w:val="28"/>
                <w:lang w:bidi="ar"/>
              </w:rPr>
              <w:t>YD/T 2583.18—2024</w:t>
            </w:r>
          </w:p>
        </w:tc>
      </w:tr>
      <w:tr w14:paraId="6C907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4FA0DEFD">
            <w:pPr>
              <w:spacing w:line="560" w:lineRule="exact"/>
              <w:jc w:val="center"/>
              <w:rPr>
                <w:rFonts w:cs="仿宋_GB2312"/>
                <w:color w:val="000000"/>
                <w:sz w:val="28"/>
                <w:szCs w:val="28"/>
                <w:lang w:bidi="ar"/>
              </w:rPr>
            </w:pPr>
            <w:r>
              <w:rPr>
                <w:rFonts w:hint="eastAsia" w:cs="仿宋_GB2312"/>
                <w:color w:val="000000"/>
                <w:sz w:val="28"/>
                <w:szCs w:val="28"/>
                <w:lang w:bidi="ar"/>
              </w:rPr>
              <w:t>11</w:t>
            </w:r>
          </w:p>
        </w:tc>
        <w:tc>
          <w:tcPr>
            <w:tcW w:w="4126" w:type="dxa"/>
            <w:tcBorders>
              <w:top w:val="single" w:color="auto" w:sz="4" w:space="0"/>
              <w:left w:val="single" w:color="auto" w:sz="4" w:space="0"/>
              <w:bottom w:val="single" w:color="auto" w:sz="4" w:space="0"/>
              <w:right w:val="single" w:color="auto" w:sz="4" w:space="0"/>
            </w:tcBorders>
            <w:vAlign w:val="center"/>
          </w:tcPr>
          <w:p w14:paraId="6A4DFFCF">
            <w:pPr>
              <w:spacing w:line="560" w:lineRule="exact"/>
              <w:jc w:val="center"/>
              <w:rPr>
                <w:rFonts w:cs="仿宋_GB2312"/>
                <w:color w:val="000000"/>
                <w:sz w:val="28"/>
                <w:szCs w:val="28"/>
                <w:lang w:bidi="ar"/>
              </w:rPr>
            </w:pPr>
            <w:r>
              <w:rPr>
                <w:rFonts w:cs="仿宋_GB2312"/>
                <w:color w:val="000000"/>
                <w:sz w:val="28"/>
                <w:szCs w:val="28"/>
                <w:lang w:bidi="ar"/>
              </w:rPr>
              <w:t>30MHz</w:t>
            </w:r>
            <w:r>
              <w:rPr>
                <w:rFonts w:hint="eastAsia" w:cs="仿宋_GB2312"/>
                <w:color w:val="000000"/>
                <w:sz w:val="28"/>
                <w:szCs w:val="28"/>
                <w:lang w:bidi="ar"/>
              </w:rPr>
              <w:t>-</w:t>
            </w:r>
            <w:r>
              <w:rPr>
                <w:rFonts w:cs="仿宋_GB2312"/>
                <w:color w:val="000000"/>
                <w:sz w:val="28"/>
                <w:szCs w:val="28"/>
                <w:lang w:bidi="ar"/>
              </w:rPr>
              <w:t>1000MHz 辐射连续骚扰</w:t>
            </w:r>
          </w:p>
        </w:tc>
        <w:tc>
          <w:tcPr>
            <w:tcW w:w="4087" w:type="dxa"/>
            <w:tcBorders>
              <w:top w:val="single" w:color="auto" w:sz="4" w:space="0"/>
              <w:left w:val="single" w:color="auto" w:sz="4" w:space="0"/>
              <w:bottom w:val="single" w:color="auto" w:sz="4" w:space="0"/>
              <w:right w:val="single" w:color="auto" w:sz="4" w:space="0"/>
            </w:tcBorders>
            <w:vAlign w:val="center"/>
          </w:tcPr>
          <w:p w14:paraId="0396B8B7">
            <w:pPr>
              <w:widowControl/>
              <w:snapToGrid w:val="0"/>
              <w:spacing w:line="560" w:lineRule="exact"/>
              <w:jc w:val="center"/>
              <w:rPr>
                <w:rFonts w:cs="仿宋_GB2312"/>
                <w:color w:val="000000"/>
                <w:sz w:val="28"/>
                <w:szCs w:val="28"/>
                <w:lang w:bidi="ar"/>
              </w:rPr>
            </w:pPr>
            <w:r>
              <w:rPr>
                <w:rFonts w:cs="仿宋_GB2312"/>
                <w:color w:val="000000"/>
                <w:sz w:val="28"/>
                <w:szCs w:val="28"/>
                <w:lang w:bidi="ar"/>
              </w:rPr>
              <w:t xml:space="preserve">GB/T 22450.1—2008 </w:t>
            </w:r>
          </w:p>
          <w:p w14:paraId="141B7B77">
            <w:pPr>
              <w:widowControl/>
              <w:snapToGrid w:val="0"/>
              <w:spacing w:line="560" w:lineRule="exact"/>
              <w:jc w:val="center"/>
              <w:rPr>
                <w:rFonts w:cs="仿宋_GB2312"/>
                <w:color w:val="000000"/>
                <w:sz w:val="28"/>
                <w:szCs w:val="28"/>
                <w:lang w:bidi="ar"/>
              </w:rPr>
            </w:pPr>
            <w:r>
              <w:rPr>
                <w:rFonts w:cs="仿宋_GB2312"/>
                <w:color w:val="000000"/>
                <w:sz w:val="28"/>
                <w:szCs w:val="28"/>
                <w:lang w:bidi="ar"/>
              </w:rPr>
              <w:t xml:space="preserve">GB/T 19484.1—2013 </w:t>
            </w:r>
          </w:p>
          <w:p w14:paraId="4F6349C0">
            <w:pPr>
              <w:widowControl/>
              <w:snapToGrid w:val="0"/>
              <w:spacing w:line="560" w:lineRule="exact"/>
              <w:jc w:val="center"/>
              <w:rPr>
                <w:rFonts w:cs="仿宋_GB2312"/>
                <w:color w:val="000000"/>
                <w:sz w:val="28"/>
                <w:szCs w:val="28"/>
                <w:lang w:bidi="ar"/>
              </w:rPr>
            </w:pPr>
            <w:r>
              <w:rPr>
                <w:rFonts w:cs="仿宋_GB2312"/>
                <w:color w:val="000000"/>
                <w:sz w:val="28"/>
                <w:szCs w:val="28"/>
                <w:lang w:bidi="ar"/>
              </w:rPr>
              <w:t xml:space="preserve">YD/T 1595.1—2012 </w:t>
            </w:r>
          </w:p>
          <w:p w14:paraId="336C791C">
            <w:pPr>
              <w:widowControl/>
              <w:snapToGrid w:val="0"/>
              <w:spacing w:line="560" w:lineRule="exact"/>
              <w:jc w:val="center"/>
              <w:rPr>
                <w:rFonts w:cs="仿宋_GB2312"/>
                <w:color w:val="000000"/>
                <w:sz w:val="28"/>
                <w:szCs w:val="28"/>
                <w:lang w:bidi="ar"/>
              </w:rPr>
            </w:pPr>
            <w:r>
              <w:rPr>
                <w:rFonts w:cs="仿宋_GB2312"/>
                <w:color w:val="000000"/>
                <w:sz w:val="28"/>
                <w:szCs w:val="28"/>
                <w:lang w:bidi="ar"/>
              </w:rPr>
              <w:t>YD/T 1592.1—2012</w:t>
            </w:r>
          </w:p>
          <w:p w14:paraId="6B0EA5BD">
            <w:pPr>
              <w:widowControl/>
              <w:snapToGrid w:val="0"/>
              <w:spacing w:line="560" w:lineRule="exact"/>
              <w:jc w:val="center"/>
              <w:rPr>
                <w:rFonts w:cs="仿宋_GB2312"/>
                <w:color w:val="000000"/>
                <w:sz w:val="28"/>
                <w:szCs w:val="28"/>
                <w:lang w:bidi="ar"/>
              </w:rPr>
            </w:pPr>
            <w:r>
              <w:rPr>
                <w:rFonts w:cs="仿宋_GB2312"/>
                <w:color w:val="000000"/>
                <w:sz w:val="28"/>
                <w:szCs w:val="28"/>
                <w:lang w:bidi="ar"/>
              </w:rPr>
              <w:t xml:space="preserve">YD/T 2583.14—2013 </w:t>
            </w:r>
          </w:p>
          <w:p w14:paraId="7588E9E0">
            <w:pPr>
              <w:spacing w:line="560" w:lineRule="exact"/>
              <w:jc w:val="center"/>
              <w:rPr>
                <w:rFonts w:cs="仿宋_GB2312"/>
                <w:color w:val="000000"/>
                <w:sz w:val="28"/>
                <w:szCs w:val="28"/>
                <w:lang w:bidi="ar"/>
              </w:rPr>
            </w:pPr>
            <w:r>
              <w:rPr>
                <w:rFonts w:cs="仿宋_GB2312"/>
                <w:color w:val="000000"/>
                <w:sz w:val="28"/>
                <w:szCs w:val="28"/>
                <w:lang w:bidi="ar"/>
              </w:rPr>
              <w:t>YD/T 2583.18—2024</w:t>
            </w:r>
          </w:p>
        </w:tc>
      </w:tr>
      <w:tr w14:paraId="03A4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7C7E3790">
            <w:pPr>
              <w:spacing w:line="560" w:lineRule="exact"/>
              <w:jc w:val="center"/>
              <w:rPr>
                <w:rFonts w:cs="仿宋_GB2312"/>
                <w:color w:val="000000"/>
                <w:sz w:val="28"/>
                <w:szCs w:val="28"/>
                <w:lang w:bidi="ar"/>
              </w:rPr>
            </w:pPr>
            <w:r>
              <w:rPr>
                <w:rFonts w:cs="仿宋_GB2312"/>
                <w:color w:val="000000"/>
                <w:sz w:val="28"/>
                <w:szCs w:val="28"/>
                <w:lang w:bidi="ar"/>
              </w:rPr>
              <w:t>12</w:t>
            </w:r>
          </w:p>
        </w:tc>
        <w:tc>
          <w:tcPr>
            <w:tcW w:w="4126" w:type="dxa"/>
            <w:tcBorders>
              <w:top w:val="single" w:color="auto" w:sz="4" w:space="0"/>
              <w:left w:val="single" w:color="auto" w:sz="4" w:space="0"/>
              <w:bottom w:val="single" w:color="auto" w:sz="4" w:space="0"/>
              <w:right w:val="single" w:color="auto" w:sz="4" w:space="0"/>
            </w:tcBorders>
            <w:vAlign w:val="center"/>
          </w:tcPr>
          <w:p w14:paraId="12292596">
            <w:pPr>
              <w:spacing w:line="560" w:lineRule="exact"/>
              <w:jc w:val="center"/>
              <w:rPr>
                <w:rFonts w:cs="仿宋_GB2312"/>
                <w:color w:val="000000"/>
                <w:sz w:val="28"/>
                <w:szCs w:val="28"/>
                <w:lang w:bidi="ar"/>
              </w:rPr>
            </w:pPr>
            <w:r>
              <w:rPr>
                <w:rFonts w:cs="仿宋_GB2312"/>
                <w:color w:val="000000"/>
                <w:sz w:val="28"/>
                <w:szCs w:val="28"/>
                <w:lang w:bidi="ar"/>
              </w:rPr>
              <w:t>防静电性能</w:t>
            </w:r>
          </w:p>
        </w:tc>
        <w:tc>
          <w:tcPr>
            <w:tcW w:w="4087" w:type="dxa"/>
            <w:tcBorders>
              <w:top w:val="single" w:color="auto" w:sz="4" w:space="0"/>
              <w:left w:val="single" w:color="auto" w:sz="4" w:space="0"/>
              <w:bottom w:val="single" w:color="auto" w:sz="4" w:space="0"/>
              <w:right w:val="single" w:color="auto" w:sz="4" w:space="0"/>
            </w:tcBorders>
            <w:vAlign w:val="center"/>
          </w:tcPr>
          <w:p w14:paraId="748109BE">
            <w:pPr>
              <w:spacing w:line="560" w:lineRule="exact"/>
              <w:jc w:val="center"/>
              <w:rPr>
                <w:rFonts w:cs="仿宋_GB2312"/>
                <w:color w:val="000000"/>
                <w:sz w:val="28"/>
                <w:szCs w:val="28"/>
                <w:lang w:bidi="ar"/>
              </w:rPr>
            </w:pPr>
            <w:r>
              <w:rPr>
                <w:rFonts w:cs="仿宋_GB2312"/>
                <w:color w:val="000000"/>
                <w:sz w:val="28"/>
                <w:szCs w:val="28"/>
                <w:lang w:bidi="ar"/>
              </w:rPr>
              <w:t>GB/T 41411—2022</w:t>
            </w:r>
          </w:p>
        </w:tc>
      </w:tr>
      <w:tr w14:paraId="5BCFF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0AC0FC4E">
            <w:pPr>
              <w:spacing w:line="560" w:lineRule="exact"/>
              <w:jc w:val="center"/>
              <w:rPr>
                <w:rFonts w:cs="仿宋_GB2312"/>
                <w:color w:val="000000"/>
                <w:sz w:val="28"/>
                <w:szCs w:val="28"/>
                <w:lang w:bidi="ar"/>
              </w:rPr>
            </w:pPr>
            <w:r>
              <w:rPr>
                <w:rFonts w:cs="仿宋_GB2312"/>
                <w:color w:val="000000"/>
                <w:sz w:val="28"/>
                <w:szCs w:val="28"/>
                <w:lang w:bidi="ar"/>
              </w:rPr>
              <w:t>13</w:t>
            </w:r>
          </w:p>
        </w:tc>
        <w:tc>
          <w:tcPr>
            <w:tcW w:w="4126" w:type="dxa"/>
            <w:tcBorders>
              <w:top w:val="single" w:color="auto" w:sz="4" w:space="0"/>
              <w:left w:val="single" w:color="auto" w:sz="4" w:space="0"/>
              <w:bottom w:val="single" w:color="auto" w:sz="4" w:space="0"/>
              <w:right w:val="single" w:color="auto" w:sz="4" w:space="0"/>
            </w:tcBorders>
            <w:vAlign w:val="center"/>
          </w:tcPr>
          <w:p w14:paraId="594E57BB">
            <w:pPr>
              <w:spacing w:line="560" w:lineRule="exact"/>
              <w:jc w:val="center"/>
              <w:rPr>
                <w:rFonts w:cs="仿宋_GB2312"/>
                <w:color w:val="000000"/>
                <w:sz w:val="28"/>
                <w:szCs w:val="28"/>
                <w:lang w:bidi="ar"/>
              </w:rPr>
            </w:pPr>
            <w:r>
              <w:rPr>
                <w:rFonts w:cs="仿宋_GB2312"/>
                <w:color w:val="000000"/>
                <w:sz w:val="28"/>
                <w:szCs w:val="28"/>
                <w:lang w:bidi="ar"/>
              </w:rPr>
              <w:t>化学性能（</w:t>
            </w:r>
            <w:r>
              <w:rPr>
                <w:rFonts w:hint="eastAsia" w:cs="仿宋_GB2312"/>
                <w:color w:val="000000"/>
                <w:sz w:val="28"/>
                <w:szCs w:val="28"/>
                <w:lang w:bidi="ar"/>
              </w:rPr>
              <w:t>不含</w:t>
            </w:r>
            <w:r>
              <w:rPr>
                <w:rFonts w:cs="仿宋_GB2312"/>
                <w:color w:val="000000"/>
                <w:sz w:val="28"/>
                <w:szCs w:val="28"/>
                <w:lang w:bidi="ar"/>
              </w:rPr>
              <w:t>镍释放量）</w:t>
            </w:r>
          </w:p>
        </w:tc>
        <w:tc>
          <w:tcPr>
            <w:tcW w:w="4087" w:type="dxa"/>
            <w:tcBorders>
              <w:top w:val="single" w:color="auto" w:sz="4" w:space="0"/>
              <w:left w:val="single" w:color="auto" w:sz="4" w:space="0"/>
              <w:bottom w:val="single" w:color="auto" w:sz="4" w:space="0"/>
              <w:right w:val="single" w:color="auto" w:sz="4" w:space="0"/>
            </w:tcBorders>
            <w:vAlign w:val="center"/>
          </w:tcPr>
          <w:p w14:paraId="267DD0C6">
            <w:pPr>
              <w:spacing w:line="560" w:lineRule="exact"/>
              <w:jc w:val="center"/>
              <w:rPr>
                <w:rFonts w:cs="仿宋_GB2312"/>
                <w:color w:val="000000"/>
                <w:sz w:val="28"/>
                <w:szCs w:val="28"/>
                <w:lang w:bidi="ar"/>
              </w:rPr>
            </w:pPr>
            <w:r>
              <w:rPr>
                <w:rFonts w:cs="仿宋_GB2312"/>
                <w:color w:val="000000"/>
                <w:sz w:val="28"/>
                <w:szCs w:val="28"/>
                <w:lang w:bidi="ar"/>
              </w:rPr>
              <w:t>GB/T 41411—2022</w:t>
            </w:r>
          </w:p>
        </w:tc>
      </w:tr>
      <w:tr w14:paraId="37B01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961" w:type="dxa"/>
            <w:tcBorders>
              <w:top w:val="single" w:color="auto" w:sz="4" w:space="0"/>
              <w:left w:val="single" w:color="auto" w:sz="4" w:space="0"/>
              <w:bottom w:val="single" w:color="auto" w:sz="4" w:space="0"/>
              <w:right w:val="single" w:color="auto" w:sz="4" w:space="0"/>
            </w:tcBorders>
            <w:vAlign w:val="center"/>
          </w:tcPr>
          <w:p w14:paraId="5C792398">
            <w:pPr>
              <w:spacing w:line="560" w:lineRule="exact"/>
              <w:jc w:val="center"/>
              <w:rPr>
                <w:rFonts w:cs="仿宋_GB2312"/>
                <w:color w:val="000000"/>
                <w:sz w:val="28"/>
                <w:szCs w:val="28"/>
                <w:lang w:bidi="ar"/>
              </w:rPr>
            </w:pPr>
            <w:r>
              <w:rPr>
                <w:rFonts w:cs="仿宋_GB2312"/>
                <w:color w:val="000000"/>
                <w:sz w:val="28"/>
                <w:szCs w:val="28"/>
                <w:lang w:bidi="ar"/>
              </w:rPr>
              <w:t>14</w:t>
            </w:r>
          </w:p>
        </w:tc>
        <w:tc>
          <w:tcPr>
            <w:tcW w:w="4126" w:type="dxa"/>
            <w:tcBorders>
              <w:top w:val="single" w:color="auto" w:sz="4" w:space="0"/>
              <w:left w:val="single" w:color="auto" w:sz="4" w:space="0"/>
              <w:bottom w:val="single" w:color="auto" w:sz="4" w:space="0"/>
              <w:right w:val="single" w:color="auto" w:sz="4" w:space="0"/>
            </w:tcBorders>
            <w:vAlign w:val="center"/>
          </w:tcPr>
          <w:p w14:paraId="41F712F3">
            <w:pPr>
              <w:spacing w:line="560" w:lineRule="exact"/>
              <w:jc w:val="center"/>
              <w:rPr>
                <w:rFonts w:cs="仿宋_GB2312"/>
                <w:color w:val="000000"/>
                <w:sz w:val="28"/>
                <w:szCs w:val="28"/>
                <w:lang w:bidi="ar"/>
              </w:rPr>
            </w:pPr>
            <w:r>
              <w:rPr>
                <w:rFonts w:cs="仿宋_GB2312"/>
                <w:color w:val="000000"/>
                <w:sz w:val="28"/>
                <w:szCs w:val="28"/>
                <w:lang w:bidi="ar"/>
              </w:rPr>
              <w:t>信息安全</w:t>
            </w:r>
            <w:r>
              <w:rPr>
                <w:rFonts w:hint="eastAsia" w:cs="仿宋_GB2312"/>
                <w:color w:val="000000"/>
                <w:sz w:val="28"/>
                <w:szCs w:val="28"/>
                <w:lang w:bidi="ar"/>
              </w:rPr>
              <w:t>（不含升级功能、安全审计）</w:t>
            </w:r>
          </w:p>
        </w:tc>
        <w:tc>
          <w:tcPr>
            <w:tcW w:w="4087" w:type="dxa"/>
            <w:tcBorders>
              <w:top w:val="single" w:color="auto" w:sz="4" w:space="0"/>
              <w:left w:val="single" w:color="auto" w:sz="4" w:space="0"/>
              <w:bottom w:val="single" w:color="auto" w:sz="4" w:space="0"/>
              <w:right w:val="single" w:color="auto" w:sz="4" w:space="0"/>
            </w:tcBorders>
            <w:vAlign w:val="center"/>
          </w:tcPr>
          <w:p w14:paraId="1A4427D7">
            <w:pPr>
              <w:spacing w:line="560" w:lineRule="exact"/>
              <w:jc w:val="center"/>
              <w:rPr>
                <w:rFonts w:cs="仿宋_GB2312"/>
                <w:color w:val="000000"/>
                <w:sz w:val="28"/>
                <w:szCs w:val="28"/>
                <w:lang w:bidi="ar"/>
              </w:rPr>
            </w:pPr>
            <w:r>
              <w:rPr>
                <w:rFonts w:cs="仿宋_GB2312"/>
                <w:color w:val="000000"/>
                <w:sz w:val="28"/>
                <w:szCs w:val="28"/>
                <w:lang w:bidi="ar"/>
              </w:rPr>
              <w:t>GB/T 41411—2022</w:t>
            </w:r>
          </w:p>
        </w:tc>
      </w:tr>
    </w:tbl>
    <w:p w14:paraId="1012C7B4">
      <w:pPr>
        <w:spacing w:line="560" w:lineRule="exact"/>
        <w:ind w:firstLine="640" w:firstLineChars="200"/>
        <w:rPr>
          <w:rFonts w:hint="eastAsia" w:cs="仿宋_GB2312"/>
          <w:szCs w:val="40"/>
        </w:rPr>
      </w:pPr>
      <w:r>
        <w:rPr>
          <w:rFonts w:hint="eastAsia" w:cs="仿宋_GB2312"/>
          <w:szCs w:val="40"/>
        </w:rPr>
        <w:t>执行企业标准、团体标准、地方标准的产品，检验项目参照上述内容执行。</w:t>
      </w:r>
    </w:p>
    <w:p w14:paraId="3ACC4022">
      <w:pPr>
        <w:keepNext w:val="0"/>
        <w:keepLines w:val="0"/>
        <w:widowControl w:val="0"/>
        <w:suppressLineNumbers w:val="0"/>
        <w:snapToGrid w:val="0"/>
        <w:spacing w:before="0" w:beforeAutospacing="0" w:after="0" w:afterAutospacing="0" w:line="560" w:lineRule="exact"/>
        <w:ind w:left="0" w:right="0" w:firstLine="547" w:firstLineChars="171"/>
        <w:jc w:val="both"/>
        <w:rPr>
          <w:rFonts w:hint="eastAsia" w:cs="仿宋_GB2312"/>
          <w:szCs w:val="40"/>
        </w:rPr>
      </w:pPr>
      <w:r>
        <w:rPr>
          <w:rFonts w:hint="default" w:ascii="仿宋_GB2312" w:hAnsi="Times New Roman" w:eastAsia="仿宋_GB2312" w:cs="仿宋_GB2312"/>
          <w:kern w:val="2"/>
          <w:sz w:val="32"/>
          <w:szCs w:val="32"/>
          <w:lang w:val="en-US" w:eastAsia="zh-CN" w:bidi="ar"/>
        </w:rPr>
        <w:t>跟踪抽查的检验项目以不合格项目为主；跟踪抽查的检验项目如少于上述检验项目，须经组织监督抽查（或印发监督抽查方案）的市场监管部门同意；跟踪抽查的检验项目须同时符合如下要求：1.检验项目原则上与上述常规抽查的检验项目一致；2.检验项目的数量必须与抽样量相匹配（与检验项目有关的样品量不可控、不可预测的除外）；3.不合格项目以外的其他检验项目必须优先选择‘（1）涉及人体健康（人身财产安全）、（2）存在前后检验关系、（3）被跟踪抽查产品检出值更接近标准值’的项目（（1）优先于（2），（2）优先于（3））；4.具体检验项目须写入“抽样单”备注处；5.检验人员可以根据实际检验情况调减不合格项目以外的其他检验项目（原则上按上述（3）、（2）、（1）的顺序调减（部分拟调减的项目已检验的除外），须经组织监督抽查（或印发监督抽查方案）的市场监管部门同意）。</w:t>
      </w:r>
      <w:bookmarkStart w:id="0" w:name="_GoBack"/>
      <w:bookmarkEnd w:id="0"/>
    </w:p>
    <w:p w14:paraId="6330FE33">
      <w:pPr>
        <w:spacing w:line="560" w:lineRule="exact"/>
        <w:ind w:firstLine="640" w:firstLineChars="200"/>
        <w:rPr>
          <w:rFonts w:cs="仿宋_GB2312"/>
          <w:szCs w:val="40"/>
        </w:rPr>
      </w:pPr>
      <w:r>
        <w:rPr>
          <w:rFonts w:hint="eastAsia" w:cs="仿宋_GB2312"/>
          <w:szCs w:val="40"/>
        </w:rPr>
        <w:t>凡是注日期的文件，其随后所有的修改单（不包括勘误的内容）或修订版不适用于本细则。凡是不注日期的文件，其最新版本适用于本细则。</w:t>
      </w:r>
    </w:p>
    <w:p w14:paraId="222A0B6E">
      <w:pPr>
        <w:spacing w:line="560" w:lineRule="exact"/>
        <w:ind w:firstLine="640" w:firstLineChars="200"/>
        <w:rPr>
          <w:rFonts w:eastAsia="黑体" w:cs="黑体"/>
          <w:szCs w:val="40"/>
        </w:rPr>
      </w:pPr>
      <w:r>
        <w:rPr>
          <w:rFonts w:hint="eastAsia" w:eastAsia="黑体" w:cs="黑体"/>
          <w:szCs w:val="40"/>
        </w:rPr>
        <w:t>3 判定规则</w:t>
      </w:r>
    </w:p>
    <w:p w14:paraId="3278029A">
      <w:pPr>
        <w:spacing w:line="560" w:lineRule="exact"/>
        <w:ind w:firstLine="640" w:firstLineChars="200"/>
        <w:rPr>
          <w:rFonts w:eastAsia="楷体_GB2312" w:cs="楷体_GB2312"/>
          <w:szCs w:val="40"/>
        </w:rPr>
      </w:pPr>
      <w:r>
        <w:rPr>
          <w:rFonts w:hint="eastAsia" w:eastAsia="楷体_GB2312" w:cs="楷体_GB2312"/>
          <w:szCs w:val="40"/>
        </w:rPr>
        <w:t>3.1 依据标准</w:t>
      </w:r>
    </w:p>
    <w:p w14:paraId="12A74043">
      <w:pPr>
        <w:spacing w:line="560" w:lineRule="exact"/>
        <w:ind w:firstLine="640" w:firstLineChars="200"/>
        <w:rPr>
          <w:rFonts w:cs="仿宋_GB2312"/>
          <w:szCs w:val="40"/>
        </w:rPr>
      </w:pPr>
      <w:r>
        <w:rPr>
          <w:rFonts w:hint="eastAsia" w:cs="仿宋_GB2312"/>
          <w:szCs w:val="40"/>
        </w:rPr>
        <w:t>GB 4943.1—2022 音视频、信息技术和通信技术设备  第1部分：安全要求</w:t>
      </w:r>
    </w:p>
    <w:p w14:paraId="1AFC1C6D">
      <w:pPr>
        <w:spacing w:line="560" w:lineRule="exact"/>
        <w:ind w:firstLine="640" w:firstLineChars="200"/>
        <w:rPr>
          <w:rFonts w:cs="仿宋_GB2312"/>
          <w:szCs w:val="40"/>
        </w:rPr>
      </w:pPr>
      <w:r>
        <w:rPr>
          <w:rFonts w:hint="eastAsia" w:cs="仿宋_GB2312"/>
          <w:szCs w:val="40"/>
        </w:rPr>
        <w:t>GB/T 19484.1—2013 800MHz/2GHz cdma2000数字蜂窝移动通信系统的电磁兼容性要求和测量方法  第1部分：用户设备及其辅助设备</w:t>
      </w:r>
    </w:p>
    <w:p w14:paraId="4A929E63">
      <w:pPr>
        <w:spacing w:line="560" w:lineRule="exact"/>
        <w:ind w:firstLine="640" w:firstLineChars="200"/>
        <w:rPr>
          <w:rFonts w:cs="仿宋_GB2312"/>
          <w:szCs w:val="40"/>
        </w:rPr>
      </w:pPr>
      <w:r>
        <w:rPr>
          <w:rFonts w:hint="eastAsia" w:cs="仿宋_GB2312"/>
          <w:szCs w:val="40"/>
        </w:rPr>
        <w:t>GB/T 22450.1—2008 900/1800MHz TDMA 数字蜂窝移动通信系统电磁兼容性限值和测量方法  第1部分：移动台及其辅助设备</w:t>
      </w:r>
    </w:p>
    <w:p w14:paraId="4C7D28DE">
      <w:pPr>
        <w:spacing w:line="560" w:lineRule="exact"/>
        <w:ind w:firstLine="640" w:firstLineChars="200"/>
        <w:rPr>
          <w:rFonts w:cs="仿宋_GB2312"/>
          <w:szCs w:val="40"/>
        </w:rPr>
      </w:pPr>
      <w:r>
        <w:rPr>
          <w:rFonts w:hint="eastAsia" w:cs="仿宋_GB2312"/>
          <w:szCs w:val="40"/>
        </w:rPr>
        <w:t>GB/T 41411—2022 儿童手表</w:t>
      </w:r>
    </w:p>
    <w:p w14:paraId="18EED7D0">
      <w:pPr>
        <w:spacing w:line="560" w:lineRule="exact"/>
        <w:ind w:firstLine="640" w:firstLineChars="200"/>
        <w:rPr>
          <w:rFonts w:cs="仿宋_GB2312"/>
          <w:szCs w:val="40"/>
        </w:rPr>
      </w:pPr>
      <w:r>
        <w:rPr>
          <w:rFonts w:hint="eastAsia" w:cs="仿宋_GB2312"/>
          <w:szCs w:val="40"/>
        </w:rPr>
        <w:t>YD/T 1592.1—2012 2GHz TD-SCDMA数字蜂窝移动通信系统电磁兼容性要求和测量方法</w:t>
      </w:r>
      <w:r>
        <w:rPr>
          <w:rFonts w:hint="eastAsia" w:cs="仿宋_GB2312"/>
          <w:spacing w:val="-6"/>
          <w:szCs w:val="40"/>
        </w:rPr>
        <w:t xml:space="preserve">  第1部分：用户设备及其辅助设备</w:t>
      </w:r>
    </w:p>
    <w:p w14:paraId="2036560F">
      <w:pPr>
        <w:spacing w:line="560" w:lineRule="exact"/>
        <w:ind w:firstLine="640" w:firstLineChars="200"/>
        <w:rPr>
          <w:rFonts w:cs="仿宋_GB2312"/>
          <w:spacing w:val="-6"/>
          <w:szCs w:val="40"/>
        </w:rPr>
      </w:pPr>
      <w:r>
        <w:rPr>
          <w:rFonts w:hint="eastAsia" w:cs="仿宋_GB2312"/>
          <w:szCs w:val="40"/>
        </w:rPr>
        <w:t>YD/T 1595.1—2012 2GHz WCDMA数字蜂窝移动通信系统的电磁兼容性要求和测量方法</w:t>
      </w:r>
      <w:r>
        <w:rPr>
          <w:rFonts w:hint="eastAsia" w:cs="仿宋_GB2312"/>
          <w:spacing w:val="-6"/>
          <w:szCs w:val="40"/>
        </w:rPr>
        <w:t xml:space="preserve">  第1部分：用户设备及其辅助设备</w:t>
      </w:r>
    </w:p>
    <w:p w14:paraId="46A66AD0">
      <w:pPr>
        <w:spacing w:line="560" w:lineRule="exact"/>
        <w:ind w:firstLine="640" w:firstLineChars="200"/>
        <w:rPr>
          <w:rFonts w:cs="仿宋_GB2312"/>
          <w:szCs w:val="40"/>
        </w:rPr>
      </w:pPr>
      <w:r>
        <w:rPr>
          <w:rFonts w:hint="eastAsia" w:cs="仿宋_GB2312"/>
          <w:szCs w:val="40"/>
        </w:rPr>
        <w:t>YD/T 2583.14—2013 蜂窝式移动通信设备电磁兼容性能要求和测量方法  第14部分 LTE用户设备及其辅助设备</w:t>
      </w:r>
    </w:p>
    <w:p w14:paraId="23599D0B">
      <w:pPr>
        <w:spacing w:line="560" w:lineRule="exact"/>
        <w:ind w:firstLine="640" w:firstLineChars="200"/>
        <w:rPr>
          <w:rFonts w:cs="仿宋_GB2312"/>
          <w:szCs w:val="40"/>
        </w:rPr>
      </w:pPr>
      <w:r>
        <w:rPr>
          <w:rFonts w:hint="eastAsia" w:cs="仿宋_GB2312"/>
          <w:szCs w:val="40"/>
        </w:rPr>
        <w:t>YD/T 2583.18—2024 蜂窝式移动通信设备电磁兼容性要求和测量方法 第18部分：5G用户设备及其辅助设备</w:t>
      </w:r>
    </w:p>
    <w:p w14:paraId="25DCCAEC">
      <w:pPr>
        <w:spacing w:line="560" w:lineRule="exact"/>
        <w:ind w:firstLine="640" w:firstLineChars="200"/>
        <w:rPr>
          <w:rFonts w:cs="仿宋_GB2312"/>
          <w:szCs w:val="40"/>
        </w:rPr>
      </w:pPr>
      <w:r>
        <w:rPr>
          <w:rFonts w:hint="eastAsia" w:cs="仿宋_GB2312"/>
          <w:szCs w:val="40"/>
        </w:rPr>
        <w:t>现行有效的企业标准、团体标准、地方标准及产品明示质量要求。</w:t>
      </w:r>
    </w:p>
    <w:p w14:paraId="7584FA28">
      <w:pPr>
        <w:spacing w:line="560" w:lineRule="exact"/>
        <w:ind w:firstLine="640" w:firstLineChars="200"/>
        <w:rPr>
          <w:rFonts w:eastAsia="楷体_GB2312" w:cs="楷体_GB2312"/>
          <w:szCs w:val="40"/>
        </w:rPr>
      </w:pPr>
      <w:r>
        <w:rPr>
          <w:rFonts w:hint="eastAsia" w:eastAsia="楷体_GB2312" w:cs="楷体_GB2312"/>
          <w:szCs w:val="40"/>
        </w:rPr>
        <w:t>3.2 判定原则</w:t>
      </w:r>
    </w:p>
    <w:p w14:paraId="2AB5927E">
      <w:pPr>
        <w:spacing w:line="560" w:lineRule="exact"/>
        <w:ind w:firstLine="640" w:firstLineChars="200"/>
        <w:rPr>
          <w:rFonts w:cs="仿宋_GB2312"/>
          <w:szCs w:val="40"/>
        </w:rPr>
      </w:pPr>
      <w:r>
        <w:rPr>
          <w:rFonts w:hint="eastAsia" w:cs="仿宋_GB2312"/>
          <w:szCs w:val="40"/>
        </w:rPr>
        <w:t>经检验，检验项目全部合格，判定为被抽查产品所检项目未发现不合格；检验项目中任一项或一项以上不合格，判定为被抽查产品不合格。</w:t>
      </w:r>
    </w:p>
    <w:p w14:paraId="2922B20C">
      <w:pPr>
        <w:spacing w:line="560" w:lineRule="exact"/>
        <w:ind w:firstLine="640" w:firstLineChars="200"/>
        <w:rPr>
          <w:rFonts w:cs="仿宋_GB2312"/>
          <w:szCs w:val="40"/>
        </w:rPr>
      </w:pPr>
      <w:r>
        <w:rPr>
          <w:rFonts w:hint="eastAsia" w:cs="仿宋_GB2312"/>
          <w:szCs w:val="40"/>
        </w:rPr>
        <w:t>若被检产品明示的质量要求高于本细则中检验项目依据的标准要求时，应按被检产品明示的质量要求判定。</w:t>
      </w:r>
    </w:p>
    <w:p w14:paraId="26B483F1">
      <w:pPr>
        <w:spacing w:line="560" w:lineRule="exact"/>
        <w:ind w:firstLine="640" w:firstLineChars="200"/>
        <w:rPr>
          <w:rFonts w:cs="仿宋_GB2312"/>
          <w:szCs w:val="40"/>
        </w:rPr>
      </w:pPr>
      <w:r>
        <w:rPr>
          <w:rFonts w:hint="eastAsia" w:cs="仿宋_GB2312"/>
          <w:szCs w:val="40"/>
        </w:rPr>
        <w:t>若被检产品明示的质量要求低于本细则中检验项目依据的强制性标准要求时，应按照强制性标准要求判定。</w:t>
      </w:r>
    </w:p>
    <w:p w14:paraId="010D8516">
      <w:pPr>
        <w:spacing w:line="560" w:lineRule="exact"/>
        <w:ind w:firstLine="640" w:firstLineChars="200"/>
        <w:rPr>
          <w:rFonts w:cs="仿宋_GB2312"/>
          <w:szCs w:val="40"/>
        </w:rPr>
      </w:pPr>
      <w:r>
        <w:rPr>
          <w:rFonts w:hint="eastAsia" w:cs="仿宋_GB2312"/>
          <w:szCs w:val="40"/>
        </w:rPr>
        <w:t>若被检产品明示的质量要求低于或包含本细则中检验项目依据的推荐性标准要求时，应以被检产品明示的质量要求判定。</w:t>
      </w:r>
    </w:p>
    <w:p w14:paraId="373426EA">
      <w:pPr>
        <w:spacing w:line="560" w:lineRule="exact"/>
        <w:ind w:firstLine="640" w:firstLineChars="200"/>
        <w:rPr>
          <w:rFonts w:cs="仿宋_GB2312"/>
          <w:szCs w:val="40"/>
        </w:rPr>
      </w:pPr>
      <w:r>
        <w:rPr>
          <w:rFonts w:hint="eastAsia" w:cs="仿宋_GB2312"/>
          <w:szCs w:val="40"/>
        </w:rPr>
        <w:t>若被检产品明示的质量要求缺少本细则中检验项目依据的强制性标准要求时，应按照强制性标准要求判定。</w:t>
      </w:r>
    </w:p>
    <w:p w14:paraId="722D512E">
      <w:pPr>
        <w:spacing w:line="560" w:lineRule="exact"/>
        <w:ind w:firstLine="640" w:firstLineChars="200"/>
        <w:rPr>
          <w:rFonts w:cs="仿宋_GB2312"/>
          <w:szCs w:val="40"/>
        </w:rPr>
      </w:pPr>
      <w:r>
        <w:rPr>
          <w:rFonts w:hint="eastAsia" w:cs="仿宋_GB2312"/>
          <w:szCs w:val="40"/>
        </w:rPr>
        <w:t>若被检产品明示的质量要求缺少本细则中检验项目依据的推荐性标准要求时，该项目不参与判定。</w:t>
      </w:r>
    </w:p>
    <w:p w14:paraId="101FB609">
      <w:pPr>
        <w:spacing w:line="560" w:lineRule="exact"/>
        <w:rPr>
          <w:rFonts w:cs="仿宋_GB2312"/>
          <w:szCs w:val="40"/>
        </w:rPr>
      </w:pPr>
    </w:p>
    <w:p w14:paraId="0CB1CA35"/>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embedRegular r:id="rId1" w:fontKey="{24D9BC8E-C72A-4B3B-8979-44FECB26718C}"/>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2" w:fontKey="{9F7EF6A2-7425-4119-BFF5-26E9CFC47922}"/>
  </w:font>
  <w:font w:name="Arial">
    <w:panose1 w:val="020B0604020202020204"/>
    <w:charset w:val="01"/>
    <w:family w:val="swiss"/>
    <w:pitch w:val="default"/>
    <w:sig w:usb0="E0002EFF" w:usb1="C000785B" w:usb2="00000009" w:usb3="00000000" w:csb0="400001FF" w:csb1="FFFF0000"/>
    <w:embedRegular r:id="rId3" w:fontKey="{8E745F53-D1EB-4F7E-83EB-F442A5713644}"/>
  </w:font>
  <w:font w:name="黑体">
    <w:panose1 w:val="02010609060101010101"/>
    <w:charset w:val="86"/>
    <w:family w:val="auto"/>
    <w:pitch w:val="default"/>
    <w:sig w:usb0="800002BF" w:usb1="38CF7CFA" w:usb2="00000016" w:usb3="00000000" w:csb0="00040001" w:csb1="00000000"/>
    <w:embedRegular r:id="rId4" w:fontKey="{57C3C58A-1B2D-45CF-B079-53777D036E7C}"/>
  </w:font>
  <w:font w:name="Courier New">
    <w:panose1 w:val="02070309020205020404"/>
    <w:charset w:val="01"/>
    <w:family w:val="modern"/>
    <w:pitch w:val="default"/>
    <w:sig w:usb0="E0002EFF" w:usb1="C0007843" w:usb2="00000009" w:usb3="00000000" w:csb0="400001FF" w:csb1="FFFF0000"/>
    <w:embedRegular r:id="rId5" w:fontKey="{1181B89C-520D-4F68-8E72-D401CCA8F232}"/>
  </w:font>
  <w:font w:name="Symbol">
    <w:panose1 w:val="05050102010706020507"/>
    <w:charset w:val="02"/>
    <w:family w:val="roman"/>
    <w:pitch w:val="default"/>
    <w:sig w:usb0="00000000" w:usb1="00000000" w:usb2="00000000" w:usb3="00000000" w:csb0="80000000" w:csb1="00000000"/>
    <w:embedRegular r:id="rId6" w:fontKey="{4377616E-C9E0-4924-97FE-34B5F0943EF9}"/>
  </w:font>
  <w:font w:name="Calibri">
    <w:panose1 w:val="020F0502020204030204"/>
    <w:charset w:val="00"/>
    <w:family w:val="swiss"/>
    <w:pitch w:val="default"/>
    <w:sig w:usb0="E4002EFF" w:usb1="C200247B" w:usb2="00000009" w:usb3="00000000" w:csb0="200001FF" w:csb1="00000000"/>
    <w:embedRegular r:id="rId7" w:fontKey="{94702115-BA31-43AF-A8BB-C73609F3127C}"/>
  </w:font>
  <w:font w:name="仿宋_GB2312">
    <w:altName w:val="仿宋"/>
    <w:panose1 w:val="00000000000000000000"/>
    <w:charset w:val="86"/>
    <w:family w:val="modern"/>
    <w:pitch w:val="default"/>
    <w:sig w:usb0="00000000" w:usb1="00000000" w:usb2="00000000" w:usb3="00000000" w:csb0="00040000" w:csb1="00000000"/>
    <w:embedRegular r:id="rId8" w:fontKey="{31DCF1A4-5D5B-4B69-87EB-D5DC5B569E47}"/>
  </w:font>
  <w:font w:name="微软雅黑">
    <w:panose1 w:val="020B0503020204020204"/>
    <w:charset w:val="86"/>
    <w:family w:val="auto"/>
    <w:pitch w:val="default"/>
    <w:sig w:usb0="80000287" w:usb1="2ACF3C50" w:usb2="00000016" w:usb3="00000000" w:csb0="0004001F" w:csb1="00000000"/>
  </w:font>
  <w:font w:name="方正小标宋简体">
    <w:panose1 w:val="02000000000000000000"/>
    <w:charset w:val="86"/>
    <w:family w:val="script"/>
    <w:pitch w:val="default"/>
    <w:sig w:usb0="00000001" w:usb1="08000000" w:usb2="00000000" w:usb3="00000000" w:csb0="00040000" w:csb1="00000000"/>
    <w:embedRegular r:id="rId9" w:fontKey="{150C72FD-7ED8-47DA-8B0F-03A32A116A6B}"/>
  </w:font>
  <w:font w:name="楷体_GB2312">
    <w:altName w:val="楷体"/>
    <w:panose1 w:val="00000000000000000000"/>
    <w:charset w:val="86"/>
    <w:family w:val="modern"/>
    <w:pitch w:val="default"/>
    <w:sig w:usb0="00000000" w:usb1="00000000" w:usb2="00000000" w:usb3="00000000" w:csb0="00040000" w:csb1="00000000"/>
    <w:embedRegular r:id="rId10" w:fontKey="{997DE76A-8B8E-46FF-888C-FFD950A1B716}"/>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embedRegular r:id="rId11" w:fontKey="{4A423A6E-065D-42B2-9480-6D43601EAA5F}"/>
  </w:font>
  <w:font w:name="仿宋_GB2312">
    <w:altName w:val="仿宋"/>
    <w:panose1 w:val="00000000000000000000"/>
    <w:charset w:val="00"/>
    <w:family w:val="auto"/>
    <w:pitch w:val="default"/>
    <w:sig w:usb0="00000000" w:usb1="00000000" w:usb2="00000000" w:usb3="00000000" w:csb0="00000000" w:csb1="00000000"/>
    <w:embedRegular r:id="rId12" w:fontKey="{32469E17-0A08-4A46-BA6E-5069C9B36B4A}"/>
  </w:font>
  <w:font w:name="@宋体">
    <w:panose1 w:val="02010600030101010101"/>
    <w:charset w:val="86"/>
    <w:family w:val="auto"/>
    <w:pitch w:val="variable"/>
    <w:sig w:usb0="00000203" w:usb1="288F0000" w:usb2="00000006" w:usb3="00000000" w:csb0="00040001" w:csb1="00000000"/>
  </w:font>
  <w:font w:name="Cambria Math">
    <w:panose1 w:val="02040503050406030204"/>
    <w:charset w:val="00"/>
    <w:family w:val="auto"/>
    <w:pitch w:val="variable"/>
    <w:sig w:usb0="E00006FF" w:usb1="420024FF" w:usb2="02000000" w:usb3="00000000" w:csb0="2000019F" w:csb1="00000000"/>
    <w:embedRegular r:id="rId13" w:fontKey="{32D05C33-9CC4-45AD-9A03-672A703F3DB2}"/>
  </w:font>
  <w:font w:name="KSOFE44F9426">
    <w:panose1 w:val="02010609060101010101"/>
    <w:charset w:val="86"/>
    <w:family w:val="auto"/>
    <w:pitch w:val="default"/>
    <w:sig w:usb0="00000001" w:usb1="00000000" w:usb2="00000000"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677233"/>
    <w:multiLevelType w:val="multilevel"/>
    <w:tmpl w:val="AF677233"/>
    <w:lvl w:ilvl="0" w:tentative="0">
      <w:start w:val="1"/>
      <w:numFmt w:val="chineseCounting"/>
      <w:pStyle w:val="2"/>
      <w:suff w:val="nothing"/>
      <w:lvlText w:val="%1、"/>
      <w:lvlJc w:val="left"/>
      <w:pPr>
        <w:tabs>
          <w:tab w:val="left" w:pos="0"/>
        </w:tabs>
        <w:ind w:left="425" w:hanging="425"/>
      </w:pPr>
      <w:rPr>
        <w:rFonts w:hint="eastAsia"/>
      </w:rPr>
    </w:lvl>
    <w:lvl w:ilvl="1" w:tentative="0">
      <w:start w:val="1"/>
      <w:numFmt w:val="decimal"/>
      <w:isLgl/>
      <w:lvlText w:val="%1.%2."/>
      <w:lvlJc w:val="left"/>
      <w:pPr>
        <w:tabs>
          <w:tab w:val="left" w:pos="420"/>
        </w:tabs>
        <w:ind w:left="567" w:hanging="567"/>
      </w:pPr>
      <w:rPr>
        <w:rFonts w:hint="eastAsia"/>
      </w:rPr>
    </w:lvl>
    <w:lvl w:ilvl="2" w:tentative="0">
      <w:start w:val="1"/>
      <w:numFmt w:val="decimal"/>
      <w:isLgl/>
      <w:lvlText w:val="%1.%2.%3."/>
      <w:lvlJc w:val="left"/>
      <w:pPr>
        <w:ind w:left="709" w:hanging="709"/>
      </w:pPr>
      <w:rPr>
        <w:rFonts w:hint="eastAsia"/>
      </w:rPr>
    </w:lvl>
    <w:lvl w:ilvl="3" w:tentative="0">
      <w:start w:val="1"/>
      <w:numFmt w:val="decimal"/>
      <w:isLgl/>
      <w:lvlText w:val="%1.%2.%3.%4."/>
      <w:lvlJc w:val="left"/>
      <w:pPr>
        <w:ind w:left="850" w:hanging="850"/>
      </w:pPr>
      <w:rPr>
        <w:rFonts w:hint="eastAsia"/>
      </w:rPr>
    </w:lvl>
    <w:lvl w:ilvl="4" w:tentative="0">
      <w:start w:val="5"/>
      <w:numFmt w:val="decimal"/>
      <w:isLgl/>
      <w:lvlText w:val="%1.%2.%3.%4.%5."/>
      <w:lvlJc w:val="left"/>
      <w:pPr>
        <w:tabs>
          <w:tab w:val="left" w:pos="420"/>
        </w:tabs>
        <w:ind w:left="991" w:hanging="991"/>
      </w:pPr>
      <w:rPr>
        <w:rFonts w:hint="eastAsia"/>
      </w:rPr>
    </w:lvl>
    <w:lvl w:ilvl="5" w:tentative="0">
      <w:start w:val="1"/>
      <w:numFmt w:val="decimal"/>
      <w:isLgl/>
      <w:lvlText w:val="%1.%2.%3.%4.%5.%6."/>
      <w:lvlJc w:val="left"/>
      <w:pPr>
        <w:ind w:left="1134" w:hanging="1134"/>
      </w:pPr>
      <w:rPr>
        <w:rFonts w:hint="eastAsia"/>
      </w:rPr>
    </w:lvl>
    <w:lvl w:ilvl="6" w:tentative="0">
      <w:start w:val="1"/>
      <w:numFmt w:val="decimal"/>
      <w:isLgl/>
      <w:lvlText w:val="%1.%2.%3.%4.%5.%6.%7."/>
      <w:lvlJc w:val="left"/>
      <w:pPr>
        <w:ind w:left="1275" w:hanging="1275"/>
      </w:pPr>
      <w:rPr>
        <w:rFonts w:hint="eastAsia"/>
      </w:rPr>
    </w:lvl>
    <w:lvl w:ilvl="7" w:tentative="0">
      <w:start w:val="1"/>
      <w:numFmt w:val="decimal"/>
      <w:isLgl/>
      <w:lvlText w:val="%1.%2.%3.%4.%5.%6.%7.%8."/>
      <w:lvlJc w:val="left"/>
      <w:pPr>
        <w:ind w:left="1418" w:hanging="1418"/>
      </w:pPr>
      <w:rPr>
        <w:rFonts w:hint="eastAsia"/>
      </w:rPr>
    </w:lvl>
    <w:lvl w:ilvl="8" w:tentative="0">
      <w:start w:val="1"/>
      <w:numFmt w:val="decimal"/>
      <w:isLgl/>
      <w:lvlText w:val="%1.%2.%3.%4.%5.%6.%7.%8.%9."/>
      <w:lvlJc w:val="left"/>
      <w:pPr>
        <w:ind w:left="1558" w:hanging="1558"/>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6"/>
  <w:embedTrueTypeFonts/>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5AF5E41"/>
    <w:rsid w:val="005A108C"/>
    <w:rsid w:val="009F20E0"/>
    <w:rsid w:val="00B70E23"/>
    <w:rsid w:val="00F7110E"/>
    <w:rsid w:val="05AF5E41"/>
    <w:rsid w:val="2E7668B7"/>
    <w:rsid w:val="308471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32"/>
      <w:szCs w:val="24"/>
      <w:lang w:val="en-US" w:eastAsia="zh-CN" w:bidi="ar-SA"/>
    </w:rPr>
  </w:style>
  <w:style w:type="paragraph" w:styleId="2">
    <w:name w:val="heading 5"/>
    <w:basedOn w:val="1"/>
    <w:next w:val="1"/>
    <w:link w:val="7"/>
    <w:semiHidden/>
    <w:unhideWhenUsed/>
    <w:qFormat/>
    <w:uiPriority w:val="0"/>
    <w:pPr>
      <w:keepNext/>
      <w:keepLines/>
      <w:numPr>
        <w:ilvl w:val="0"/>
        <w:numId w:val="1"/>
      </w:numPr>
      <w:ind w:left="0" w:firstLine="0"/>
      <w:jc w:val="left"/>
      <w:outlineLvl w:val="4"/>
    </w:pPr>
    <w:rPr>
      <w:rFonts w:ascii="Calibri" w:hAnsi="Calibri" w:eastAsia="宋体"/>
      <w:b/>
      <w:sz w:val="28"/>
    </w:rPr>
  </w:style>
  <w:style w:type="character" w:default="1" w:styleId="6">
    <w:name w:val="Default Paragraph Font"/>
    <w:semiHidden/>
    <w:unhideWhenUsed/>
    <w:uiPriority w:val="1"/>
  </w:style>
  <w:style w:type="table" w:default="1" w:styleId="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3">
    <w:name w:val="footer"/>
    <w:basedOn w:val="1"/>
    <w:link w:val="9"/>
    <w:qFormat/>
    <w:uiPriority w:val="0"/>
    <w:pPr>
      <w:tabs>
        <w:tab w:val="center" w:pos="4153"/>
        <w:tab w:val="right" w:pos="8306"/>
      </w:tabs>
      <w:snapToGrid w:val="0"/>
      <w:jc w:val="left"/>
    </w:pPr>
    <w:rPr>
      <w:sz w:val="18"/>
      <w:szCs w:val="18"/>
    </w:rPr>
  </w:style>
  <w:style w:type="paragraph" w:styleId="4">
    <w:name w:val="header"/>
    <w:basedOn w:val="1"/>
    <w:link w:val="8"/>
    <w:uiPriority w:val="0"/>
    <w:pPr>
      <w:tabs>
        <w:tab w:val="center" w:pos="4153"/>
        <w:tab w:val="right" w:pos="8306"/>
      </w:tabs>
      <w:snapToGrid w:val="0"/>
      <w:jc w:val="center"/>
    </w:pPr>
    <w:rPr>
      <w:sz w:val="18"/>
      <w:szCs w:val="18"/>
    </w:rPr>
  </w:style>
  <w:style w:type="character" w:customStyle="1" w:styleId="7">
    <w:name w:val="标题 5 字符"/>
    <w:basedOn w:val="6"/>
    <w:link w:val="2"/>
    <w:qFormat/>
    <w:uiPriority w:val="0"/>
    <w:rPr>
      <w:rFonts w:ascii="Calibri" w:hAnsi="Calibri" w:eastAsia="宋体" w:cs="Times New Roman"/>
      <w:b/>
      <w:kern w:val="2"/>
      <w:sz w:val="28"/>
      <w:szCs w:val="24"/>
    </w:rPr>
  </w:style>
  <w:style w:type="character" w:customStyle="1" w:styleId="8">
    <w:name w:val="页眉 字符"/>
    <w:basedOn w:val="6"/>
    <w:link w:val="4"/>
    <w:uiPriority w:val="0"/>
    <w:rPr>
      <w:rFonts w:ascii="Times New Roman" w:hAnsi="Times New Roman" w:eastAsia="仿宋_GB2312" w:cs="Times New Roman"/>
      <w:kern w:val="2"/>
      <w:sz w:val="18"/>
      <w:szCs w:val="18"/>
    </w:rPr>
  </w:style>
  <w:style w:type="character" w:customStyle="1" w:styleId="9">
    <w:name w:val="页脚 字符"/>
    <w:basedOn w:val="6"/>
    <w:link w:val="3"/>
    <w:uiPriority w:val="0"/>
    <w:rPr>
      <w:rFonts w:ascii="Times New Roman" w:hAnsi="Times New Roman" w:eastAsia="仿宋_GB2312" w:cs="Times New Roman"/>
      <w:kern w:val="2"/>
      <w:sz w:val="18"/>
      <w:szCs w:val="18"/>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5</Pages>
  <Words>1076</Words>
  <Characters>1540</Characters>
  <Lines>12</Lines>
  <Paragraphs>3</Paragraphs>
  <TotalTime>1</TotalTime>
  <ScaleCrop>false</ScaleCrop>
  <LinksUpToDate>false</LinksUpToDate>
  <CharactersWithSpaces>1615</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2026-06-01T02:02:00Z</dcterms:created>
  <dc:creator>璐璐Lulu</dc:creator>
  <cp:lastModifiedBy>璐璐Lulu</cp:lastModifiedBy>
  <dcterms:modified xsi:type="dcterms:W3CDTF">2026-06-01T07:10:39Z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21A7FFB54525492CBA9E7F5AEB0568E3_11</vt:lpwstr>
  </property>
  <property fmtid="{D5CDD505-2E9C-101B-9397-08002B2CF9AE}" pid="4" name="KSOTemplateDocerSaveRecord">
    <vt:lpwstr>eyJoZGlkIjoiNjE4YmY1MjRkNzdkOTU4NmRiMmU5NWQ5NTQzODc4ZDUiLCJ1c2VySWQiOiI1NTM5Nzk5MzEifQ==</vt:lpwstr>
  </property>
</Properties>
</file>