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CC418">
      <w:pPr>
        <w:pageBreakBefore w:val="0"/>
        <w:widowControl/>
        <w:kinsoku w:val="0"/>
        <w:overflowPunct/>
        <w:topLinePunct w:val="0"/>
        <w:autoSpaceDE w:val="0"/>
        <w:autoSpaceDN w:val="0"/>
        <w:bidi w:val="0"/>
        <w:adjustRightInd/>
        <w:snapToGrid/>
        <w:spacing w:line="560" w:lineRule="exact"/>
        <w:jc w:val="center"/>
        <w:textAlignment w:val="baseline"/>
        <w:rPr>
          <w:rFonts w:ascii="Times New Roman" w:hAnsi="Times New Roman" w:eastAsia="方正小标宋简体" w:cs="方正小标宋简体"/>
          <w:snapToGrid w:val="0"/>
          <w:spacing w:val="2"/>
          <w:kern w:val="0"/>
          <w:position w:val="2"/>
          <w:sz w:val="44"/>
          <w:szCs w:val="44"/>
          <w:highlight w:val="none"/>
        </w:rPr>
      </w:pPr>
      <w:r>
        <w:rPr>
          <w:rFonts w:hint="eastAsia" w:eastAsia="方正小标宋简体" w:cs="方正小标宋简体"/>
          <w:sz w:val="44"/>
          <w:szCs w:val="44"/>
          <w:highlight w:val="none"/>
          <w:lang w:val="en-US" w:eastAsia="zh-CN"/>
        </w:rPr>
        <w:t>东莞市</w:t>
      </w:r>
      <w:r>
        <w:rPr>
          <w:rFonts w:hint="eastAsia" w:ascii="Times New Roman" w:hAnsi="Times New Roman" w:eastAsia="方正小标宋简体" w:cs="方正小标宋简体"/>
          <w:sz w:val="44"/>
          <w:szCs w:val="44"/>
          <w:highlight w:val="none"/>
        </w:rPr>
        <w:t>器具开关产品质量监督抽查实施细则</w:t>
      </w:r>
    </w:p>
    <w:p w14:paraId="287A3573">
      <w:pPr>
        <w:pageBreakBefore w:val="0"/>
        <w:overflowPunct/>
        <w:topLinePunct w:val="0"/>
        <w:bidi w:val="0"/>
        <w:adjustRightInd/>
        <w:snapToGrid/>
        <w:spacing w:line="560" w:lineRule="exact"/>
        <w:jc w:val="center"/>
        <w:rPr>
          <w:rFonts w:ascii="Times New Roman" w:hAnsi="Times New Roman" w:eastAsia="楷体_GB2312" w:cs="楷体_GB2312"/>
          <w:sz w:val="32"/>
          <w:szCs w:val="40"/>
          <w:highlight w:val="none"/>
        </w:rPr>
      </w:pPr>
      <w:r>
        <w:rPr>
          <w:rFonts w:hint="eastAsia" w:ascii="Times New Roman" w:hAnsi="Times New Roman" w:eastAsia="楷体_GB2312" w:cs="楷体_GB2312"/>
          <w:sz w:val="32"/>
          <w:szCs w:val="40"/>
          <w:highlight w:val="none"/>
        </w:rPr>
        <w:t>（202</w:t>
      </w:r>
      <w:r>
        <w:rPr>
          <w:rFonts w:hint="eastAsia" w:eastAsia="楷体_GB2312" w:cs="楷体_GB2312"/>
          <w:sz w:val="32"/>
          <w:szCs w:val="40"/>
          <w:highlight w:val="none"/>
          <w:lang w:val="en-US" w:eastAsia="zh-CN"/>
        </w:rPr>
        <w:t>6</w:t>
      </w:r>
      <w:r>
        <w:rPr>
          <w:rFonts w:hint="eastAsia" w:ascii="Times New Roman" w:hAnsi="Times New Roman" w:eastAsia="楷体_GB2312" w:cs="楷体_GB2312"/>
          <w:sz w:val="32"/>
          <w:szCs w:val="40"/>
          <w:highlight w:val="none"/>
        </w:rPr>
        <w:t>年版）</w:t>
      </w:r>
    </w:p>
    <w:p w14:paraId="5BBD387A">
      <w:pPr>
        <w:pageBreakBefore w:val="0"/>
        <w:overflowPunct/>
        <w:topLinePunct w:val="0"/>
        <w:bidi w:val="0"/>
        <w:adjustRightInd/>
        <w:snapToGrid/>
        <w:spacing w:line="560" w:lineRule="exact"/>
        <w:rPr>
          <w:rFonts w:ascii="Times New Roman" w:hAnsi="Times New Roman" w:eastAsia="仿宋_GB2312" w:cs="仿宋_GB2312"/>
          <w:sz w:val="32"/>
          <w:szCs w:val="32"/>
          <w:highlight w:val="none"/>
        </w:rPr>
      </w:pPr>
    </w:p>
    <w:p w14:paraId="4CD0734E">
      <w:pPr>
        <w:pageBreakBefore w:val="0"/>
        <w:overflowPunct/>
        <w:topLinePunct w:val="0"/>
        <w:bidi w:val="0"/>
        <w:adjustRightInd/>
        <w:snapToGrid/>
        <w:spacing w:line="56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 xml:space="preserve">1 </w:t>
      </w:r>
      <w:r>
        <w:rPr>
          <w:rFonts w:ascii="Times New Roman" w:hAnsi="Times New Roman" w:eastAsia="黑体"/>
          <w:sz w:val="32"/>
          <w:szCs w:val="32"/>
          <w:highlight w:val="none"/>
        </w:rPr>
        <w:t>抽样方法</w:t>
      </w:r>
    </w:p>
    <w:p w14:paraId="24DDD734">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ascii="Times New Roman" w:hAnsi="Times New Roman" w:eastAsia="仿宋_GB2312" w:cs="仿宋_GB2312"/>
          <w:sz w:val="32"/>
          <w:szCs w:val="40"/>
          <w:highlight w:val="none"/>
        </w:rPr>
        <w:t>以随机抽样的方式在被抽样生产者、销售者的待销产品中抽取。</w:t>
      </w:r>
    </w:p>
    <w:p w14:paraId="324E71B7">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ascii="Times New Roman" w:hAnsi="Times New Roman" w:eastAsia="仿宋_GB2312" w:cs="仿宋_GB2312"/>
          <w:sz w:val="32"/>
          <w:szCs w:val="40"/>
          <w:highlight w:val="none"/>
        </w:rPr>
        <w:t>随机数一般可使用随机数表等方法产生。</w:t>
      </w:r>
    </w:p>
    <w:p w14:paraId="1ED39FA0">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ascii="Times New Roman" w:hAnsi="Times New Roman" w:eastAsia="仿宋_GB2312" w:cs="仿宋_GB2312"/>
          <w:sz w:val="32"/>
          <w:szCs w:val="40"/>
          <w:highlight w:val="none"/>
        </w:rPr>
        <w:t>每批次产品抽取样品</w:t>
      </w:r>
      <w:r>
        <w:rPr>
          <w:rFonts w:hint="eastAsia" w:ascii="Times New Roman" w:hAnsi="Times New Roman" w:eastAsia="仿宋_GB2312" w:cs="仿宋_GB2312"/>
          <w:sz w:val="32"/>
          <w:szCs w:val="40"/>
          <w:highlight w:val="none"/>
        </w:rPr>
        <w:t>30</w:t>
      </w:r>
      <w:r>
        <w:rPr>
          <w:rFonts w:ascii="Times New Roman" w:hAnsi="Times New Roman" w:eastAsia="仿宋_GB2312" w:cs="仿宋_GB2312"/>
          <w:sz w:val="32"/>
          <w:szCs w:val="40"/>
          <w:highlight w:val="none"/>
        </w:rPr>
        <w:t>只，其中</w:t>
      </w:r>
      <w:r>
        <w:rPr>
          <w:rFonts w:hint="eastAsia" w:ascii="Times New Roman" w:hAnsi="Times New Roman" w:eastAsia="仿宋_GB2312" w:cs="仿宋_GB2312"/>
          <w:sz w:val="32"/>
          <w:szCs w:val="40"/>
          <w:highlight w:val="none"/>
        </w:rPr>
        <w:t>15</w:t>
      </w:r>
      <w:r>
        <w:rPr>
          <w:rFonts w:ascii="Times New Roman" w:hAnsi="Times New Roman" w:eastAsia="仿宋_GB2312" w:cs="仿宋_GB2312"/>
          <w:sz w:val="32"/>
          <w:szCs w:val="40"/>
          <w:highlight w:val="none"/>
        </w:rPr>
        <w:t>只作为检验样品，</w:t>
      </w:r>
      <w:r>
        <w:rPr>
          <w:rFonts w:hint="eastAsia" w:ascii="Times New Roman" w:hAnsi="Times New Roman" w:eastAsia="仿宋_GB2312" w:cs="仿宋_GB2312"/>
          <w:sz w:val="32"/>
          <w:szCs w:val="40"/>
          <w:highlight w:val="none"/>
        </w:rPr>
        <w:t>15</w:t>
      </w:r>
      <w:r>
        <w:rPr>
          <w:rFonts w:ascii="Times New Roman" w:hAnsi="Times New Roman" w:eastAsia="仿宋_GB2312" w:cs="仿宋_GB2312"/>
          <w:sz w:val="32"/>
          <w:szCs w:val="40"/>
          <w:highlight w:val="none"/>
        </w:rPr>
        <w:t>只作为备用样品。</w:t>
      </w:r>
    </w:p>
    <w:p w14:paraId="3FC06BC3">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hint="eastAsia" w:eastAsia="仿宋_GB2312" w:cs="仿宋_GB2312"/>
          <w:sz w:val="32"/>
          <w:szCs w:val="40"/>
        </w:rPr>
        <w:t>跟踪抽查可以根据不合格项目情况适当减少抽样量（至少包括2个抽样量：1个是检验用，1个是备用），且须经组织监督抽查（或印发监督抽查方案）的市场监管部门同意；跟踪抽查的抽样量须同时符合如下要求：1.原则上跟踪抽查抽样量与上述常规抽查抽样量一致；2.抽样量以库存量为准（且不得多于本细则要求的常规抽查抽样量），且符合“国内待销产品”等要求。</w:t>
      </w:r>
    </w:p>
    <w:p w14:paraId="19DBFABC">
      <w:pPr>
        <w:pageBreakBefore w:val="0"/>
        <w:overflowPunct/>
        <w:topLinePunct w:val="0"/>
        <w:bidi w:val="0"/>
        <w:adjustRightInd/>
        <w:snapToGrid/>
        <w:spacing w:line="56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2 检验依据</w:t>
      </w:r>
    </w:p>
    <w:p w14:paraId="523CF715">
      <w:pPr>
        <w:pageBreakBefore w:val="0"/>
        <w:overflowPunct/>
        <w:topLinePunct w:val="0"/>
        <w:bidi w:val="0"/>
        <w:adjustRightInd/>
        <w:snapToGrid/>
        <w:spacing w:line="560" w:lineRule="exact"/>
        <w:ind w:firstLine="640" w:firstLineChars="200"/>
        <w:rPr>
          <w:rFonts w:ascii="Times New Roman" w:hAnsi="Times New Roman" w:eastAsia="楷体_GB2312" w:cs="楷体_GB2312"/>
          <w:sz w:val="32"/>
          <w:szCs w:val="40"/>
          <w:highlight w:val="none"/>
        </w:rPr>
      </w:pPr>
      <w:r>
        <w:rPr>
          <w:rFonts w:hint="eastAsia" w:ascii="Times New Roman" w:hAnsi="Times New Roman" w:eastAsia="楷体_GB2312" w:cs="楷体_GB2312"/>
          <w:sz w:val="32"/>
          <w:szCs w:val="40"/>
          <w:highlight w:val="none"/>
        </w:rPr>
        <w:t>2.1 器具开关</w:t>
      </w:r>
    </w:p>
    <w:tbl>
      <w:tblPr>
        <w:tblStyle w:val="13"/>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14:paraId="12DDE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0" w:hRule="atLeast"/>
          <w:tblHeader/>
        </w:trPr>
        <w:tc>
          <w:tcPr>
            <w:tcW w:w="961" w:type="dxa"/>
            <w:tcBorders>
              <w:top w:val="single" w:color="auto" w:sz="4" w:space="0"/>
              <w:left w:val="single" w:color="auto" w:sz="4" w:space="0"/>
              <w:bottom w:val="single" w:color="auto" w:sz="4" w:space="0"/>
              <w:right w:val="single" w:color="auto" w:sz="4" w:space="0"/>
            </w:tcBorders>
            <w:shd w:val="clear" w:color="auto" w:fill="auto"/>
            <w:vAlign w:val="center"/>
          </w:tcPr>
          <w:p w14:paraId="60F7314D">
            <w:pPr>
              <w:pageBreakBefore w:val="0"/>
              <w:overflowPunct/>
              <w:topLinePunct w:val="0"/>
              <w:bidi w:val="0"/>
              <w:adjustRightInd/>
              <w:snapToGrid/>
              <w:spacing w:line="560" w:lineRule="exact"/>
              <w:jc w:val="center"/>
              <w:rPr>
                <w:rFonts w:ascii="Times New Roman" w:hAnsi="Times New Roman" w:eastAsia="仿宋_GB2312" w:cs="仿宋_GB2312"/>
                <w:b/>
                <w:bCs/>
                <w:sz w:val="28"/>
                <w:szCs w:val="28"/>
                <w:highlight w:val="none"/>
                <w:lang w:bidi="ar"/>
              </w:rPr>
            </w:pPr>
            <w:r>
              <w:rPr>
                <w:rFonts w:hint="eastAsia" w:ascii="Times New Roman" w:hAnsi="Times New Roman" w:eastAsia="仿宋_GB2312" w:cs="仿宋_GB2312"/>
                <w:b/>
                <w:bCs/>
                <w:sz w:val="28"/>
                <w:szCs w:val="28"/>
                <w:highlight w:val="none"/>
                <w:lang w:bidi="ar"/>
              </w:rPr>
              <w:t>序号</w:t>
            </w:r>
          </w:p>
        </w:tc>
        <w:tc>
          <w:tcPr>
            <w:tcW w:w="4126" w:type="dxa"/>
            <w:tcBorders>
              <w:top w:val="single" w:color="auto" w:sz="4" w:space="0"/>
              <w:left w:val="single" w:color="auto" w:sz="4" w:space="0"/>
              <w:bottom w:val="single" w:color="auto" w:sz="4" w:space="0"/>
              <w:right w:val="single" w:color="auto" w:sz="4" w:space="0"/>
            </w:tcBorders>
            <w:shd w:val="clear" w:color="auto" w:fill="auto"/>
            <w:vAlign w:val="center"/>
          </w:tcPr>
          <w:p w14:paraId="704ADD7D">
            <w:pPr>
              <w:pageBreakBefore w:val="0"/>
              <w:overflowPunct/>
              <w:topLinePunct w:val="0"/>
              <w:bidi w:val="0"/>
              <w:adjustRightInd/>
              <w:snapToGrid/>
              <w:spacing w:line="560" w:lineRule="exact"/>
              <w:jc w:val="center"/>
              <w:rPr>
                <w:rFonts w:ascii="Times New Roman" w:hAnsi="Times New Roman" w:eastAsia="仿宋_GB2312" w:cs="仿宋_GB2312"/>
                <w:b/>
                <w:bCs/>
                <w:sz w:val="28"/>
                <w:szCs w:val="28"/>
                <w:highlight w:val="none"/>
                <w:lang w:bidi="ar"/>
              </w:rPr>
            </w:pPr>
            <w:r>
              <w:rPr>
                <w:rFonts w:hint="eastAsia" w:ascii="Times New Roman" w:hAnsi="Times New Roman" w:eastAsia="仿宋_GB2312" w:cs="仿宋_GB2312"/>
                <w:b/>
                <w:bCs/>
                <w:sz w:val="28"/>
                <w:szCs w:val="28"/>
                <w:highlight w:val="none"/>
                <w:lang w:bidi="ar"/>
              </w:rPr>
              <w:t>检验项目</w:t>
            </w:r>
          </w:p>
        </w:tc>
        <w:tc>
          <w:tcPr>
            <w:tcW w:w="4087" w:type="dxa"/>
            <w:tcBorders>
              <w:top w:val="single" w:color="auto" w:sz="4" w:space="0"/>
              <w:left w:val="single" w:color="auto" w:sz="4" w:space="0"/>
              <w:bottom w:val="single" w:color="auto" w:sz="4" w:space="0"/>
              <w:right w:val="single" w:color="auto" w:sz="4" w:space="0"/>
            </w:tcBorders>
            <w:shd w:val="clear" w:color="auto" w:fill="auto"/>
            <w:vAlign w:val="center"/>
          </w:tcPr>
          <w:p w14:paraId="59CBF23E">
            <w:pPr>
              <w:pageBreakBefore w:val="0"/>
              <w:overflowPunct/>
              <w:topLinePunct w:val="0"/>
              <w:bidi w:val="0"/>
              <w:adjustRightInd/>
              <w:snapToGrid/>
              <w:spacing w:line="560" w:lineRule="exact"/>
              <w:jc w:val="center"/>
              <w:rPr>
                <w:rFonts w:ascii="Times New Roman" w:hAnsi="Times New Roman" w:eastAsia="仿宋_GB2312" w:cs="仿宋_GB2312"/>
                <w:b/>
                <w:bCs/>
                <w:sz w:val="28"/>
                <w:szCs w:val="28"/>
                <w:highlight w:val="none"/>
                <w:lang w:bidi="ar"/>
              </w:rPr>
            </w:pPr>
            <w:r>
              <w:rPr>
                <w:rFonts w:hint="eastAsia" w:ascii="Times New Roman" w:hAnsi="Times New Roman" w:eastAsia="仿宋_GB2312" w:cs="仿宋_GB2312"/>
                <w:b/>
                <w:bCs/>
                <w:sz w:val="28"/>
                <w:szCs w:val="28"/>
                <w:highlight w:val="none"/>
                <w:lang w:bidi="ar"/>
              </w:rPr>
              <w:t>检验方法</w:t>
            </w:r>
          </w:p>
        </w:tc>
      </w:tr>
      <w:tr w14:paraId="1067C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61" w:type="dxa"/>
            <w:tcBorders>
              <w:top w:val="single" w:color="auto" w:sz="4" w:space="0"/>
              <w:left w:val="single" w:color="auto" w:sz="4" w:space="0"/>
              <w:bottom w:val="single" w:color="auto" w:sz="4" w:space="0"/>
              <w:right w:val="single" w:color="auto" w:sz="4" w:space="0"/>
            </w:tcBorders>
            <w:shd w:val="clear" w:color="auto" w:fill="auto"/>
            <w:vAlign w:val="center"/>
          </w:tcPr>
          <w:p w14:paraId="45053D35">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1</w:t>
            </w:r>
          </w:p>
        </w:tc>
        <w:tc>
          <w:tcPr>
            <w:tcW w:w="4126" w:type="dxa"/>
            <w:tcBorders>
              <w:top w:val="single" w:color="auto" w:sz="4" w:space="0"/>
              <w:left w:val="single" w:color="auto" w:sz="4" w:space="0"/>
              <w:bottom w:val="single" w:color="auto" w:sz="4" w:space="0"/>
              <w:right w:val="single" w:color="auto" w:sz="4" w:space="0"/>
            </w:tcBorders>
            <w:shd w:val="clear" w:color="auto" w:fill="auto"/>
            <w:vAlign w:val="center"/>
          </w:tcPr>
          <w:p w14:paraId="358B193A">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防触电保护</w:t>
            </w:r>
          </w:p>
        </w:tc>
        <w:tc>
          <w:tcPr>
            <w:tcW w:w="4087" w:type="dxa"/>
            <w:tcBorders>
              <w:top w:val="single" w:color="auto" w:sz="4" w:space="0"/>
              <w:left w:val="single" w:color="auto" w:sz="4" w:space="0"/>
              <w:bottom w:val="single" w:color="auto" w:sz="4" w:space="0"/>
              <w:right w:val="single" w:color="auto" w:sz="4" w:space="0"/>
            </w:tcBorders>
            <w:shd w:val="clear" w:color="auto" w:fill="auto"/>
            <w:vAlign w:val="center"/>
          </w:tcPr>
          <w:p w14:paraId="19093F14">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15092.1-2020、</w:t>
            </w:r>
          </w:p>
          <w:p w14:paraId="6C09A6BC">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15092.101-2020；</w:t>
            </w:r>
          </w:p>
          <w:p w14:paraId="7C60A6FD">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条款9</w:t>
            </w:r>
          </w:p>
        </w:tc>
      </w:tr>
      <w:tr w14:paraId="3918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961" w:type="dxa"/>
            <w:tcBorders>
              <w:top w:val="single" w:color="auto" w:sz="4" w:space="0"/>
              <w:left w:val="single" w:color="auto" w:sz="4" w:space="0"/>
              <w:bottom w:val="single" w:color="auto" w:sz="4" w:space="0"/>
              <w:right w:val="single" w:color="auto" w:sz="4" w:space="0"/>
            </w:tcBorders>
            <w:shd w:val="clear" w:color="auto" w:fill="auto"/>
            <w:vAlign w:val="center"/>
          </w:tcPr>
          <w:p w14:paraId="5C099026">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2</w:t>
            </w:r>
          </w:p>
        </w:tc>
        <w:tc>
          <w:tcPr>
            <w:tcW w:w="4126" w:type="dxa"/>
            <w:tcBorders>
              <w:top w:val="single" w:color="auto" w:sz="4" w:space="0"/>
              <w:left w:val="single" w:color="auto" w:sz="4" w:space="0"/>
              <w:bottom w:val="single" w:color="auto" w:sz="4" w:space="0"/>
              <w:right w:val="single" w:color="auto" w:sz="4" w:space="0"/>
            </w:tcBorders>
            <w:shd w:val="clear" w:color="auto" w:fill="auto"/>
            <w:vAlign w:val="center"/>
          </w:tcPr>
          <w:p w14:paraId="02AD46EA">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结构</w:t>
            </w:r>
          </w:p>
        </w:tc>
        <w:tc>
          <w:tcPr>
            <w:tcW w:w="4087" w:type="dxa"/>
            <w:tcBorders>
              <w:top w:val="single" w:color="auto" w:sz="4" w:space="0"/>
              <w:left w:val="single" w:color="auto" w:sz="4" w:space="0"/>
              <w:bottom w:val="single" w:color="auto" w:sz="4" w:space="0"/>
              <w:right w:val="single" w:color="auto" w:sz="4" w:space="0"/>
            </w:tcBorders>
            <w:shd w:val="clear" w:color="auto" w:fill="auto"/>
            <w:vAlign w:val="center"/>
          </w:tcPr>
          <w:p w14:paraId="3077096E">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15092.1-2020、</w:t>
            </w:r>
          </w:p>
          <w:p w14:paraId="76921735">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15092.101-2020；</w:t>
            </w:r>
          </w:p>
          <w:p w14:paraId="52E4AAC6">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条款12</w:t>
            </w:r>
          </w:p>
        </w:tc>
      </w:tr>
      <w:tr w14:paraId="7475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61" w:type="dxa"/>
            <w:tcBorders>
              <w:top w:val="single" w:color="auto" w:sz="4" w:space="0"/>
              <w:left w:val="single" w:color="auto" w:sz="4" w:space="0"/>
              <w:bottom w:val="single" w:color="auto" w:sz="4" w:space="0"/>
              <w:right w:val="single" w:color="auto" w:sz="4" w:space="0"/>
            </w:tcBorders>
            <w:shd w:val="clear" w:color="auto" w:fill="auto"/>
            <w:vAlign w:val="center"/>
          </w:tcPr>
          <w:p w14:paraId="46994DCE">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3</w:t>
            </w:r>
          </w:p>
        </w:tc>
        <w:tc>
          <w:tcPr>
            <w:tcW w:w="4126" w:type="dxa"/>
            <w:tcBorders>
              <w:top w:val="single" w:color="auto" w:sz="4" w:space="0"/>
              <w:left w:val="single" w:color="auto" w:sz="4" w:space="0"/>
              <w:bottom w:val="single" w:color="auto" w:sz="4" w:space="0"/>
              <w:right w:val="single" w:color="auto" w:sz="4" w:space="0"/>
            </w:tcBorders>
            <w:shd w:val="clear" w:color="auto" w:fill="auto"/>
            <w:vAlign w:val="center"/>
          </w:tcPr>
          <w:p w14:paraId="41CB880C">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机构</w:t>
            </w:r>
          </w:p>
        </w:tc>
        <w:tc>
          <w:tcPr>
            <w:tcW w:w="4087" w:type="dxa"/>
            <w:tcBorders>
              <w:top w:val="single" w:color="auto" w:sz="4" w:space="0"/>
              <w:left w:val="single" w:color="auto" w:sz="4" w:space="0"/>
              <w:bottom w:val="single" w:color="auto" w:sz="4" w:space="0"/>
              <w:right w:val="single" w:color="auto" w:sz="4" w:space="0"/>
            </w:tcBorders>
            <w:shd w:val="clear" w:color="auto" w:fill="auto"/>
            <w:vAlign w:val="center"/>
          </w:tcPr>
          <w:p w14:paraId="30A21C0F">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15092.1-2020、</w:t>
            </w:r>
          </w:p>
          <w:p w14:paraId="4489223A">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15092.101-2020；</w:t>
            </w:r>
          </w:p>
          <w:p w14:paraId="11835AF6">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条款13</w:t>
            </w:r>
          </w:p>
        </w:tc>
      </w:tr>
      <w:tr w14:paraId="4C25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1" w:type="dxa"/>
            <w:vAlign w:val="center"/>
          </w:tcPr>
          <w:p w14:paraId="36F4360E">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4</w:t>
            </w:r>
          </w:p>
        </w:tc>
        <w:tc>
          <w:tcPr>
            <w:tcW w:w="4126" w:type="dxa"/>
            <w:shd w:val="clear" w:color="auto" w:fill="auto"/>
            <w:vAlign w:val="center"/>
          </w:tcPr>
          <w:p w14:paraId="59FBDAE9">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防潮</w:t>
            </w:r>
          </w:p>
        </w:tc>
        <w:tc>
          <w:tcPr>
            <w:tcW w:w="4087" w:type="dxa"/>
            <w:shd w:val="clear" w:color="auto" w:fill="auto"/>
            <w:vAlign w:val="center"/>
          </w:tcPr>
          <w:p w14:paraId="1E8755A7">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15092.1-2020、</w:t>
            </w:r>
          </w:p>
          <w:p w14:paraId="1F4F9AF8">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15092.101-2020；</w:t>
            </w:r>
          </w:p>
          <w:p w14:paraId="72C2E7CC">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条款14.3</w:t>
            </w:r>
          </w:p>
        </w:tc>
      </w:tr>
      <w:tr w14:paraId="17DE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1" w:type="dxa"/>
            <w:vAlign w:val="center"/>
          </w:tcPr>
          <w:p w14:paraId="1C530D77">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5</w:t>
            </w:r>
          </w:p>
        </w:tc>
        <w:tc>
          <w:tcPr>
            <w:tcW w:w="4126" w:type="dxa"/>
            <w:shd w:val="clear" w:color="auto" w:fill="auto"/>
            <w:vAlign w:val="center"/>
          </w:tcPr>
          <w:p w14:paraId="6ECAF310">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绝缘电阻和介电强度</w:t>
            </w:r>
          </w:p>
        </w:tc>
        <w:tc>
          <w:tcPr>
            <w:tcW w:w="4087" w:type="dxa"/>
            <w:shd w:val="clear" w:color="auto" w:fill="auto"/>
            <w:vAlign w:val="center"/>
          </w:tcPr>
          <w:p w14:paraId="30F1B715">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15092.1-2020、</w:t>
            </w:r>
          </w:p>
          <w:p w14:paraId="6B407D89">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15092.101-2020；</w:t>
            </w:r>
          </w:p>
          <w:p w14:paraId="77225323">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条款15</w:t>
            </w:r>
          </w:p>
        </w:tc>
      </w:tr>
      <w:tr w14:paraId="51437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961" w:type="dxa"/>
            <w:vAlign w:val="center"/>
          </w:tcPr>
          <w:p w14:paraId="181F9550">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6</w:t>
            </w:r>
          </w:p>
        </w:tc>
        <w:tc>
          <w:tcPr>
            <w:tcW w:w="4126" w:type="dxa"/>
            <w:shd w:val="clear" w:color="auto" w:fill="auto"/>
            <w:vAlign w:val="center"/>
          </w:tcPr>
          <w:p w14:paraId="252C704C">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发热</w:t>
            </w:r>
          </w:p>
        </w:tc>
        <w:tc>
          <w:tcPr>
            <w:tcW w:w="4087" w:type="dxa"/>
            <w:shd w:val="clear" w:color="auto" w:fill="auto"/>
            <w:vAlign w:val="center"/>
          </w:tcPr>
          <w:p w14:paraId="1DBB8AFB">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15092.1-2020、</w:t>
            </w:r>
          </w:p>
          <w:p w14:paraId="43C24D30">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15092.101-2020；</w:t>
            </w:r>
          </w:p>
          <w:p w14:paraId="414BE3CD">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条款16</w:t>
            </w:r>
          </w:p>
        </w:tc>
      </w:tr>
      <w:tr w14:paraId="1BD7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1" w:type="dxa"/>
            <w:vAlign w:val="center"/>
          </w:tcPr>
          <w:p w14:paraId="7DAC5812">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7</w:t>
            </w:r>
          </w:p>
        </w:tc>
        <w:tc>
          <w:tcPr>
            <w:tcW w:w="4126" w:type="dxa"/>
            <w:shd w:val="clear" w:color="auto" w:fill="auto"/>
            <w:vAlign w:val="center"/>
          </w:tcPr>
          <w:p w14:paraId="6E5CC3DC">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耐久性</w:t>
            </w:r>
          </w:p>
        </w:tc>
        <w:tc>
          <w:tcPr>
            <w:tcW w:w="4087" w:type="dxa"/>
            <w:shd w:val="clear" w:color="auto" w:fill="auto"/>
            <w:vAlign w:val="center"/>
          </w:tcPr>
          <w:p w14:paraId="4DC7DC73">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15092.1-2020、</w:t>
            </w:r>
          </w:p>
          <w:p w14:paraId="6806AD40">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15092.101-2020；</w:t>
            </w:r>
          </w:p>
          <w:p w14:paraId="32572254">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条款17</w:t>
            </w:r>
          </w:p>
        </w:tc>
      </w:tr>
      <w:tr w14:paraId="13DFE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1" w:type="dxa"/>
            <w:vAlign w:val="center"/>
          </w:tcPr>
          <w:p w14:paraId="295A06ED">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8</w:t>
            </w:r>
          </w:p>
        </w:tc>
        <w:tc>
          <w:tcPr>
            <w:tcW w:w="4126" w:type="dxa"/>
            <w:shd w:val="clear" w:color="auto" w:fill="auto"/>
            <w:vAlign w:val="center"/>
          </w:tcPr>
          <w:p w14:paraId="59DE67E0">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电气间隙、爬电距离、固体绝缘和硬印制电路板部件的涂敷层</w:t>
            </w:r>
          </w:p>
        </w:tc>
        <w:tc>
          <w:tcPr>
            <w:tcW w:w="4087" w:type="dxa"/>
            <w:shd w:val="clear" w:color="auto" w:fill="auto"/>
            <w:vAlign w:val="center"/>
          </w:tcPr>
          <w:p w14:paraId="4B377494">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15092.1-2020、</w:t>
            </w:r>
          </w:p>
          <w:p w14:paraId="3B683E63">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15092.101-2020；</w:t>
            </w:r>
          </w:p>
          <w:p w14:paraId="4AEDFB88">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条款20</w:t>
            </w:r>
          </w:p>
        </w:tc>
      </w:tr>
      <w:tr w14:paraId="59DD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1" w:type="dxa"/>
            <w:vAlign w:val="center"/>
          </w:tcPr>
          <w:p w14:paraId="12341F75">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9</w:t>
            </w:r>
          </w:p>
        </w:tc>
        <w:tc>
          <w:tcPr>
            <w:tcW w:w="4126" w:type="dxa"/>
            <w:shd w:val="clear" w:color="auto" w:fill="auto"/>
            <w:vAlign w:val="center"/>
          </w:tcPr>
          <w:p w14:paraId="69CF2583">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着火危险</w:t>
            </w:r>
          </w:p>
        </w:tc>
        <w:tc>
          <w:tcPr>
            <w:tcW w:w="4087" w:type="dxa"/>
            <w:shd w:val="clear" w:color="auto" w:fill="auto"/>
            <w:vAlign w:val="center"/>
          </w:tcPr>
          <w:p w14:paraId="02A28B30">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15092.1-2020、</w:t>
            </w:r>
          </w:p>
          <w:p w14:paraId="0E94FEFA">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GB/T 15092.101-2020；</w:t>
            </w:r>
          </w:p>
          <w:p w14:paraId="328C2370">
            <w:pPr>
              <w:pageBreakBefore w:val="0"/>
              <w:overflowPunct/>
              <w:topLinePunct w:val="0"/>
              <w:bidi w:val="0"/>
              <w:adjustRightInd/>
              <w:snapToGrid/>
              <w:spacing w:line="560" w:lineRule="exact"/>
              <w:jc w:val="center"/>
              <w:rPr>
                <w:rFonts w:ascii="Times New Roman" w:hAnsi="Times New Roman" w:eastAsia="仿宋_GB2312" w:cs="仿宋_GB2312"/>
                <w:color w:val="000000"/>
                <w:sz w:val="28"/>
                <w:szCs w:val="28"/>
                <w:highlight w:val="none"/>
              </w:rPr>
            </w:pPr>
            <w:r>
              <w:rPr>
                <w:rFonts w:hint="eastAsia" w:ascii="Times New Roman" w:hAnsi="Times New Roman" w:eastAsia="仿宋_GB2312" w:cs="仿宋_GB2312"/>
                <w:color w:val="000000"/>
                <w:sz w:val="28"/>
                <w:szCs w:val="28"/>
                <w:highlight w:val="none"/>
              </w:rPr>
              <w:t>条款21</w:t>
            </w:r>
          </w:p>
        </w:tc>
      </w:tr>
    </w:tbl>
    <w:p w14:paraId="56628C75">
      <w:pPr>
        <w:pageBreakBefore w:val="0"/>
        <w:overflowPunct/>
        <w:topLinePunct w:val="0"/>
        <w:bidi w:val="0"/>
        <w:adjustRightInd/>
        <w:snapToGrid/>
        <w:spacing w:line="560" w:lineRule="exact"/>
        <w:ind w:firstLine="640" w:firstLineChars="200"/>
        <w:rPr>
          <w:rFonts w:hint="eastAsia" w:ascii="Times New Roman" w:hAnsi="Times New Roman" w:eastAsia="仿宋_GB2312" w:cs="仿宋_GB2312"/>
          <w:sz w:val="32"/>
          <w:szCs w:val="40"/>
          <w:highlight w:val="none"/>
        </w:rPr>
      </w:pPr>
      <w:r>
        <w:rPr>
          <w:rFonts w:hint="eastAsia" w:ascii="Times New Roman" w:hAnsi="Times New Roman" w:eastAsia="仿宋_GB2312" w:cs="仿宋_GB2312"/>
          <w:sz w:val="32"/>
          <w:szCs w:val="40"/>
          <w:highlight w:val="none"/>
        </w:rPr>
        <w:t>执行企业标准、团体标准、地方标准的产品，检验项目参照上述内容执行。</w:t>
      </w:r>
    </w:p>
    <w:p w14:paraId="6AB31F18">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hint="eastAsia" w:eastAsia="仿宋_GB2312" w:cs="仿宋_GB2312"/>
          <w:sz w:val="32"/>
          <w:szCs w:val="32"/>
        </w:rPr>
        <w:t>跟踪抽查的检验项目以不合格项目为主；跟踪抽查的检验项目如少于上述检验项目，须经组织监督抽查（或印发监督抽查方案）的市场监管部门同意；跟踪抽查的检验项目须同时符合如下要求：1.检验项目原则上与上述常规抽查的检验项目一致；2.检验项目的数量必须与抽样量相匹配（与检验项目有关的样品量不可控、不可预测的除外）；3.不合格项目以外的其他检验项目必须优先选择‘（1）涉及人体健康（人身财产安全）、（2）存在前后检验关系、（3）被跟踪抽查产品检出值更接近标准值’的项目（（1）优先于（2），（2）优先于（3））；4.具体检验项目须写入“抽样单”备注处；5.检验人员可以根据实际检验情况调减不合格项目以外的其他检验项目（原则上按上述（3）、（2）、（1）的顺序调减（部分拟调减的项目已检验的除外），须经组织监督抽查（或印发监督抽查方案）的市场监管部门同意）。</w:t>
      </w:r>
    </w:p>
    <w:p w14:paraId="59110C92">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hint="eastAsia" w:ascii="Times New Roman" w:hAnsi="Times New Roman" w:eastAsia="仿宋_GB2312" w:cs="仿宋_GB2312"/>
          <w:sz w:val="32"/>
          <w:szCs w:val="40"/>
          <w:highlight w:val="none"/>
        </w:rPr>
        <w:t>凡是注日期的文件，其随后所有的修改单（不包括勘误的内容）或修订版不适用于本细则。凡是不注日期的文件，其最新版本适用于本细则。</w:t>
      </w:r>
    </w:p>
    <w:p w14:paraId="1A17B0C7">
      <w:pPr>
        <w:pageBreakBefore w:val="0"/>
        <w:overflowPunct/>
        <w:topLinePunct w:val="0"/>
        <w:bidi w:val="0"/>
        <w:adjustRightInd/>
        <w:snapToGrid/>
        <w:spacing w:line="560" w:lineRule="exact"/>
        <w:ind w:firstLine="640" w:firstLineChars="200"/>
        <w:rPr>
          <w:rFonts w:ascii="Times New Roman" w:hAnsi="Times New Roman" w:eastAsia="黑体"/>
          <w:sz w:val="32"/>
          <w:szCs w:val="32"/>
          <w:highlight w:val="none"/>
        </w:rPr>
      </w:pPr>
      <w:r>
        <w:rPr>
          <w:rFonts w:hint="eastAsia" w:ascii="Times New Roman" w:hAnsi="Times New Roman" w:eastAsia="黑体"/>
          <w:sz w:val="32"/>
          <w:szCs w:val="32"/>
          <w:highlight w:val="none"/>
        </w:rPr>
        <w:t xml:space="preserve">3 </w:t>
      </w:r>
      <w:r>
        <w:rPr>
          <w:rFonts w:ascii="Times New Roman" w:hAnsi="Times New Roman" w:eastAsia="黑体"/>
          <w:sz w:val="32"/>
          <w:szCs w:val="32"/>
          <w:highlight w:val="none"/>
        </w:rPr>
        <w:t>判定规则</w:t>
      </w:r>
    </w:p>
    <w:p w14:paraId="22456606">
      <w:pPr>
        <w:pageBreakBefore w:val="0"/>
        <w:overflowPunct/>
        <w:topLinePunct w:val="0"/>
        <w:bidi w:val="0"/>
        <w:adjustRightInd/>
        <w:snapToGrid/>
        <w:spacing w:line="560" w:lineRule="exact"/>
        <w:ind w:firstLine="640" w:firstLineChars="200"/>
        <w:rPr>
          <w:rFonts w:ascii="Times New Roman" w:hAnsi="Times New Roman" w:eastAsia="楷体_GB2312" w:cs="楷体_GB2312"/>
          <w:sz w:val="32"/>
          <w:szCs w:val="40"/>
          <w:highlight w:val="none"/>
        </w:rPr>
      </w:pPr>
      <w:r>
        <w:rPr>
          <w:rFonts w:hint="eastAsia" w:ascii="Times New Roman" w:hAnsi="Times New Roman" w:eastAsia="楷体_GB2312" w:cs="楷体_GB2312"/>
          <w:sz w:val="32"/>
          <w:szCs w:val="40"/>
          <w:highlight w:val="none"/>
        </w:rPr>
        <w:t>3.1 依据标准</w:t>
      </w:r>
    </w:p>
    <w:p w14:paraId="0C8638B6">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hint="eastAsia" w:ascii="Times New Roman" w:hAnsi="Times New Roman" w:eastAsia="仿宋_GB2312" w:cs="仿宋_GB2312"/>
          <w:sz w:val="32"/>
          <w:szCs w:val="40"/>
          <w:highlight w:val="none"/>
        </w:rPr>
        <w:t>GB/T 15092.1-2020《器具开关 第1部分：通用要求》</w:t>
      </w:r>
    </w:p>
    <w:p w14:paraId="0E7B4DFD">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hint="eastAsia" w:ascii="Times New Roman" w:hAnsi="Times New Roman" w:eastAsia="仿宋_GB2312" w:cs="仿宋_GB2312"/>
          <w:sz w:val="32"/>
          <w:szCs w:val="40"/>
          <w:highlight w:val="none"/>
        </w:rPr>
        <w:t>GB/T 15092.101-2020《器具开关 第1-1部分：机械开关要求》</w:t>
      </w:r>
    </w:p>
    <w:p w14:paraId="71039C6E">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hint="eastAsia" w:ascii="Times New Roman" w:hAnsi="Times New Roman" w:eastAsia="仿宋_GB2312" w:cs="仿宋_GB2312"/>
          <w:sz w:val="32"/>
          <w:szCs w:val="40"/>
          <w:highlight w:val="none"/>
        </w:rPr>
        <w:t>现行有效的企业标准、团体标准、地方标准及产品明示质量要求。</w:t>
      </w:r>
    </w:p>
    <w:p w14:paraId="65962231">
      <w:pPr>
        <w:pageBreakBefore w:val="0"/>
        <w:overflowPunct/>
        <w:topLinePunct w:val="0"/>
        <w:bidi w:val="0"/>
        <w:adjustRightInd/>
        <w:snapToGrid/>
        <w:spacing w:line="560" w:lineRule="exact"/>
        <w:ind w:firstLine="640" w:firstLineChars="200"/>
        <w:rPr>
          <w:rFonts w:ascii="Times New Roman" w:hAnsi="Times New Roman" w:eastAsia="楷体_GB2312" w:cs="楷体_GB2312"/>
          <w:sz w:val="32"/>
          <w:szCs w:val="40"/>
          <w:highlight w:val="none"/>
        </w:rPr>
      </w:pPr>
      <w:r>
        <w:rPr>
          <w:rFonts w:hint="eastAsia" w:ascii="Times New Roman" w:hAnsi="Times New Roman" w:eastAsia="楷体_GB2312" w:cs="楷体_GB2312"/>
          <w:sz w:val="32"/>
          <w:szCs w:val="40"/>
          <w:highlight w:val="none"/>
        </w:rPr>
        <w:t>3.2 判定原则</w:t>
      </w:r>
    </w:p>
    <w:p w14:paraId="1CC67BBD">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ascii="Times New Roman" w:hAnsi="Times New Roman" w:eastAsia="仿宋_GB2312" w:cs="仿宋_GB2312"/>
          <w:sz w:val="32"/>
          <w:szCs w:val="40"/>
          <w:highlight w:val="none"/>
        </w:rPr>
        <w:t>经检验，检验项目全部合格，判定为被抽查产品所检项目未发现不合格；检验项目中任一项或一项以上不合格，判定为被抽查产品不合格。</w:t>
      </w:r>
    </w:p>
    <w:p w14:paraId="685C7057">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ascii="Times New Roman" w:hAnsi="Times New Roman" w:eastAsia="仿宋_GB2312" w:cs="仿宋_GB2312"/>
          <w:sz w:val="32"/>
          <w:szCs w:val="40"/>
          <w:highlight w:val="none"/>
        </w:rPr>
        <w:t>若被检产品明示的质量要求高于本细则中检验项目依据的标准要求时，应按被检产品明示的质量要求判定。</w:t>
      </w:r>
    </w:p>
    <w:p w14:paraId="0842FBFF">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ascii="Times New Roman" w:hAnsi="Times New Roman" w:eastAsia="仿宋_GB2312" w:cs="仿宋_GB2312"/>
          <w:sz w:val="32"/>
          <w:szCs w:val="40"/>
          <w:highlight w:val="none"/>
        </w:rPr>
        <w:t>若被检产品明示的质量要求低于本细则中检验项目依据的强制性标准要求时，应按照强制性标准要求判定。</w:t>
      </w:r>
    </w:p>
    <w:p w14:paraId="77859FD9">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ascii="Times New Roman" w:hAnsi="Times New Roman" w:eastAsia="仿宋_GB2312" w:cs="仿宋_GB2312"/>
          <w:sz w:val="32"/>
          <w:szCs w:val="40"/>
          <w:highlight w:val="none"/>
        </w:rPr>
        <w:t>若被检产品明示的质量要求低于或包含本细则中检验项目依据的推荐性标准要求时，应以被检产品明示的质量要求判定。</w:t>
      </w:r>
    </w:p>
    <w:p w14:paraId="37722F9D">
      <w:pPr>
        <w:pageBreakBefore w:val="0"/>
        <w:overflowPunct/>
        <w:topLinePunct w:val="0"/>
        <w:bidi w:val="0"/>
        <w:adjustRightInd/>
        <w:snapToGrid/>
        <w:spacing w:line="560" w:lineRule="exact"/>
        <w:ind w:firstLine="640" w:firstLineChars="200"/>
        <w:rPr>
          <w:rFonts w:ascii="Times New Roman" w:hAnsi="Times New Roman" w:eastAsia="仿宋_GB2312" w:cs="仿宋_GB2312"/>
          <w:sz w:val="32"/>
          <w:szCs w:val="40"/>
          <w:highlight w:val="none"/>
        </w:rPr>
      </w:pPr>
      <w:r>
        <w:rPr>
          <w:rFonts w:ascii="Times New Roman" w:hAnsi="Times New Roman" w:eastAsia="仿宋_GB2312" w:cs="仿宋_GB2312"/>
          <w:sz w:val="32"/>
          <w:szCs w:val="40"/>
          <w:highlight w:val="none"/>
        </w:rPr>
        <w:t>若被检产品明示的质量要求缺少本细则中检验项目依据的强制性标准要求时，应按照强制性标准要求判定。</w:t>
      </w:r>
    </w:p>
    <w:p w14:paraId="265D0DFC">
      <w:pPr>
        <w:pageBreakBefore w:val="0"/>
        <w:overflowPunct/>
        <w:topLinePunct w:val="0"/>
        <w:bidi w:val="0"/>
        <w:adjustRightInd/>
        <w:snapToGrid/>
        <w:spacing w:line="560" w:lineRule="exact"/>
        <w:ind w:firstLine="640" w:firstLineChars="200"/>
        <w:rPr>
          <w:rFonts w:hint="eastAsia" w:ascii="仿宋_GB2312" w:hAnsi="仿宋_GB2312" w:eastAsia="仿宋_GB2312" w:cs="仿宋_GB2312"/>
          <w:bCs/>
          <w:spacing w:val="-6"/>
          <w:sz w:val="28"/>
          <w:szCs w:val="28"/>
          <w:highlight w:val="none"/>
        </w:rPr>
      </w:pPr>
      <w:r>
        <w:rPr>
          <w:rFonts w:ascii="Times New Roman" w:hAnsi="Times New Roman" w:eastAsia="仿宋_GB2312" w:cs="仿宋_GB2312"/>
          <w:sz w:val="32"/>
          <w:szCs w:val="40"/>
          <w:highlight w:val="none"/>
        </w:rPr>
        <w:t>若被检产品明示的质量要求缺少本细则中检验项目依据的推荐性标准要求时，该项目不参与判定</w:t>
      </w:r>
      <w:r>
        <w:rPr>
          <w:rFonts w:hint="eastAsia" w:eastAsia="仿宋_GB2312" w:cs="仿宋_GB2312"/>
          <w:sz w:val="32"/>
          <w:szCs w:val="40"/>
          <w:highlight w:val="none"/>
          <w:lang w:eastAsia="zh-CN"/>
        </w:rPr>
        <w:t>。</w:t>
      </w:r>
      <w:bookmarkStart w:id="0" w:name="_GoBack"/>
      <w:bookmarkEnd w:id="0"/>
    </w:p>
    <w:sectPr>
      <w:footerReference r:id="rId3" w:type="default"/>
      <w:pgSz w:w="11907" w:h="16840"/>
      <w:pgMar w:top="1431" w:right="1786" w:bottom="400" w:left="1438"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26E9D">
    <w:pPr>
      <w:spacing w:line="14" w:lineRule="auto"/>
      <w:rPr>
        <w:rFonts w:ascii="Arial"/>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66564B"/>
    <w:rsid w:val="000A2F43"/>
    <w:rsid w:val="00184D2D"/>
    <w:rsid w:val="002A197B"/>
    <w:rsid w:val="00A42697"/>
    <w:rsid w:val="00BA2086"/>
    <w:rsid w:val="00BE3053"/>
    <w:rsid w:val="00DF3F66"/>
    <w:rsid w:val="00F87DC1"/>
    <w:rsid w:val="010001DB"/>
    <w:rsid w:val="013D404E"/>
    <w:rsid w:val="02090B42"/>
    <w:rsid w:val="02510197"/>
    <w:rsid w:val="02941DE2"/>
    <w:rsid w:val="02C24E61"/>
    <w:rsid w:val="02C60B85"/>
    <w:rsid w:val="02DA63DE"/>
    <w:rsid w:val="031511C4"/>
    <w:rsid w:val="04022482"/>
    <w:rsid w:val="041A11DA"/>
    <w:rsid w:val="04727BC0"/>
    <w:rsid w:val="05850883"/>
    <w:rsid w:val="06730629"/>
    <w:rsid w:val="074A6C5C"/>
    <w:rsid w:val="07D57174"/>
    <w:rsid w:val="084560A8"/>
    <w:rsid w:val="08C6368D"/>
    <w:rsid w:val="0A682522"/>
    <w:rsid w:val="0A7809B7"/>
    <w:rsid w:val="0ACB31DC"/>
    <w:rsid w:val="0B81389B"/>
    <w:rsid w:val="0BDC4DC3"/>
    <w:rsid w:val="0CC765A2"/>
    <w:rsid w:val="0CE34036"/>
    <w:rsid w:val="0CF813CA"/>
    <w:rsid w:val="0F0A004B"/>
    <w:rsid w:val="0F781459"/>
    <w:rsid w:val="0F7E08B8"/>
    <w:rsid w:val="0FBC7598"/>
    <w:rsid w:val="10C1473A"/>
    <w:rsid w:val="11020FDA"/>
    <w:rsid w:val="117F262B"/>
    <w:rsid w:val="11DA3D05"/>
    <w:rsid w:val="12175509"/>
    <w:rsid w:val="124134CA"/>
    <w:rsid w:val="12744159"/>
    <w:rsid w:val="128123D2"/>
    <w:rsid w:val="12AB5BAD"/>
    <w:rsid w:val="12C329EB"/>
    <w:rsid w:val="12CC5D44"/>
    <w:rsid w:val="12E12FB6"/>
    <w:rsid w:val="13111E52"/>
    <w:rsid w:val="13E93B05"/>
    <w:rsid w:val="144933C4"/>
    <w:rsid w:val="14761E85"/>
    <w:rsid w:val="158C17BA"/>
    <w:rsid w:val="166434F4"/>
    <w:rsid w:val="16D231FD"/>
    <w:rsid w:val="177C0BBA"/>
    <w:rsid w:val="181F59C9"/>
    <w:rsid w:val="182818DB"/>
    <w:rsid w:val="182A0E16"/>
    <w:rsid w:val="18891FE1"/>
    <w:rsid w:val="18FF22A3"/>
    <w:rsid w:val="192B4BB1"/>
    <w:rsid w:val="197131A1"/>
    <w:rsid w:val="19AD7F51"/>
    <w:rsid w:val="1B3426D8"/>
    <w:rsid w:val="1BF84D18"/>
    <w:rsid w:val="1D1125A5"/>
    <w:rsid w:val="1D2F75FB"/>
    <w:rsid w:val="1DD7559C"/>
    <w:rsid w:val="1DEC729A"/>
    <w:rsid w:val="1E827C5E"/>
    <w:rsid w:val="1F806D3C"/>
    <w:rsid w:val="1F924F72"/>
    <w:rsid w:val="20517C22"/>
    <w:rsid w:val="230A28EE"/>
    <w:rsid w:val="241B18A1"/>
    <w:rsid w:val="24213A15"/>
    <w:rsid w:val="24521E21"/>
    <w:rsid w:val="246C2EE2"/>
    <w:rsid w:val="246D4BCF"/>
    <w:rsid w:val="24A0493A"/>
    <w:rsid w:val="24E567F1"/>
    <w:rsid w:val="25272AE8"/>
    <w:rsid w:val="258C51AF"/>
    <w:rsid w:val="26551754"/>
    <w:rsid w:val="26C012C4"/>
    <w:rsid w:val="26C14A0E"/>
    <w:rsid w:val="26DE174A"/>
    <w:rsid w:val="277420AE"/>
    <w:rsid w:val="27DD2096"/>
    <w:rsid w:val="27F8683B"/>
    <w:rsid w:val="2815563F"/>
    <w:rsid w:val="285C501C"/>
    <w:rsid w:val="28CD1A76"/>
    <w:rsid w:val="29E67293"/>
    <w:rsid w:val="2A3302A0"/>
    <w:rsid w:val="2B3B45F3"/>
    <w:rsid w:val="2B513376"/>
    <w:rsid w:val="2B6366C1"/>
    <w:rsid w:val="2B6A5CA2"/>
    <w:rsid w:val="2C7843EE"/>
    <w:rsid w:val="2C8C39F6"/>
    <w:rsid w:val="2CB872F2"/>
    <w:rsid w:val="2D1C7470"/>
    <w:rsid w:val="2E1F25AD"/>
    <w:rsid w:val="2E41718E"/>
    <w:rsid w:val="2E4226C5"/>
    <w:rsid w:val="2EC67693"/>
    <w:rsid w:val="2EFA10EB"/>
    <w:rsid w:val="2F662C24"/>
    <w:rsid w:val="2F762642"/>
    <w:rsid w:val="2F7C41F6"/>
    <w:rsid w:val="2FA0647C"/>
    <w:rsid w:val="2FF6531D"/>
    <w:rsid w:val="3236068C"/>
    <w:rsid w:val="32504C0A"/>
    <w:rsid w:val="3262155A"/>
    <w:rsid w:val="329B7857"/>
    <w:rsid w:val="32A83BE9"/>
    <w:rsid w:val="331D0D9F"/>
    <w:rsid w:val="33813B89"/>
    <w:rsid w:val="33AB50A9"/>
    <w:rsid w:val="34180991"/>
    <w:rsid w:val="34945B3E"/>
    <w:rsid w:val="35DE3514"/>
    <w:rsid w:val="363A163C"/>
    <w:rsid w:val="365E4655"/>
    <w:rsid w:val="373B090F"/>
    <w:rsid w:val="37A367C3"/>
    <w:rsid w:val="37A91F2C"/>
    <w:rsid w:val="380102BC"/>
    <w:rsid w:val="39D124C7"/>
    <w:rsid w:val="39DE7D3D"/>
    <w:rsid w:val="3AF0345C"/>
    <w:rsid w:val="3B1479D8"/>
    <w:rsid w:val="3C3519B4"/>
    <w:rsid w:val="3C3C71E7"/>
    <w:rsid w:val="3C442342"/>
    <w:rsid w:val="3DB07174"/>
    <w:rsid w:val="3E2D328B"/>
    <w:rsid w:val="3F6103DE"/>
    <w:rsid w:val="3FE47979"/>
    <w:rsid w:val="3FE94F8F"/>
    <w:rsid w:val="404C44D5"/>
    <w:rsid w:val="40566C25"/>
    <w:rsid w:val="40572841"/>
    <w:rsid w:val="40754A75"/>
    <w:rsid w:val="40A11D0E"/>
    <w:rsid w:val="40C61775"/>
    <w:rsid w:val="43127048"/>
    <w:rsid w:val="431E7646"/>
    <w:rsid w:val="443F72D5"/>
    <w:rsid w:val="44F87A23"/>
    <w:rsid w:val="4504286C"/>
    <w:rsid w:val="475F2CC9"/>
    <w:rsid w:val="47807C2C"/>
    <w:rsid w:val="4792415F"/>
    <w:rsid w:val="47F81D88"/>
    <w:rsid w:val="4808540A"/>
    <w:rsid w:val="482A083B"/>
    <w:rsid w:val="486755EB"/>
    <w:rsid w:val="489857A5"/>
    <w:rsid w:val="48C17682"/>
    <w:rsid w:val="495913D8"/>
    <w:rsid w:val="4A5C37BC"/>
    <w:rsid w:val="4B101F6A"/>
    <w:rsid w:val="4C065EF4"/>
    <w:rsid w:val="4C324F11"/>
    <w:rsid w:val="4C547C35"/>
    <w:rsid w:val="4CA24098"/>
    <w:rsid w:val="4CA54934"/>
    <w:rsid w:val="4CB44B77"/>
    <w:rsid w:val="4CD86AB8"/>
    <w:rsid w:val="4D61085B"/>
    <w:rsid w:val="4F844CD5"/>
    <w:rsid w:val="4F9A62A6"/>
    <w:rsid w:val="5080549C"/>
    <w:rsid w:val="50834F8C"/>
    <w:rsid w:val="510824BD"/>
    <w:rsid w:val="51BE431A"/>
    <w:rsid w:val="533D4580"/>
    <w:rsid w:val="5385101B"/>
    <w:rsid w:val="53C37C2A"/>
    <w:rsid w:val="54500E82"/>
    <w:rsid w:val="54BC0A6D"/>
    <w:rsid w:val="54CF07A0"/>
    <w:rsid w:val="54D73AF9"/>
    <w:rsid w:val="55524F2D"/>
    <w:rsid w:val="5559450E"/>
    <w:rsid w:val="55F34962"/>
    <w:rsid w:val="56D77DE0"/>
    <w:rsid w:val="57A165BB"/>
    <w:rsid w:val="57C02622"/>
    <w:rsid w:val="58041C55"/>
    <w:rsid w:val="5A6D5BE1"/>
    <w:rsid w:val="5A7A2F5C"/>
    <w:rsid w:val="5B555777"/>
    <w:rsid w:val="5D2E0D3F"/>
    <w:rsid w:val="5D3E69E1"/>
    <w:rsid w:val="5D7211C5"/>
    <w:rsid w:val="5D9500AD"/>
    <w:rsid w:val="5D9E2CDC"/>
    <w:rsid w:val="5E993BCD"/>
    <w:rsid w:val="5E9B5B97"/>
    <w:rsid w:val="5EBA601D"/>
    <w:rsid w:val="5F1F40D2"/>
    <w:rsid w:val="6013744B"/>
    <w:rsid w:val="6065307F"/>
    <w:rsid w:val="607D5554"/>
    <w:rsid w:val="609E54CA"/>
    <w:rsid w:val="60CE372B"/>
    <w:rsid w:val="60E03FBD"/>
    <w:rsid w:val="63021D41"/>
    <w:rsid w:val="63CA09B1"/>
    <w:rsid w:val="64931B46"/>
    <w:rsid w:val="64FE22BB"/>
    <w:rsid w:val="65251864"/>
    <w:rsid w:val="656F1FC4"/>
    <w:rsid w:val="66CF63DE"/>
    <w:rsid w:val="6784541A"/>
    <w:rsid w:val="678F3DBF"/>
    <w:rsid w:val="67DA7D95"/>
    <w:rsid w:val="681A7B2C"/>
    <w:rsid w:val="68A613C0"/>
    <w:rsid w:val="68D64AEE"/>
    <w:rsid w:val="68DB75CA"/>
    <w:rsid w:val="68F123F5"/>
    <w:rsid w:val="6A811E52"/>
    <w:rsid w:val="6AB51D8E"/>
    <w:rsid w:val="6B560E7C"/>
    <w:rsid w:val="6BB441C8"/>
    <w:rsid w:val="6C606ADC"/>
    <w:rsid w:val="6CB70040"/>
    <w:rsid w:val="6CE82CFC"/>
    <w:rsid w:val="6E0818DD"/>
    <w:rsid w:val="6F6A7287"/>
    <w:rsid w:val="6F8F0E00"/>
    <w:rsid w:val="6FDF25CC"/>
    <w:rsid w:val="6FF4420E"/>
    <w:rsid w:val="70CF652C"/>
    <w:rsid w:val="71D46F9E"/>
    <w:rsid w:val="72A76461"/>
    <w:rsid w:val="72C40DC1"/>
    <w:rsid w:val="73066F18"/>
    <w:rsid w:val="73102258"/>
    <w:rsid w:val="732605E1"/>
    <w:rsid w:val="73561F7D"/>
    <w:rsid w:val="737412C0"/>
    <w:rsid w:val="737E5413"/>
    <w:rsid w:val="75857511"/>
    <w:rsid w:val="7625601A"/>
    <w:rsid w:val="763E40F3"/>
    <w:rsid w:val="770F19AB"/>
    <w:rsid w:val="789456D9"/>
    <w:rsid w:val="7966564B"/>
    <w:rsid w:val="79EC439C"/>
    <w:rsid w:val="79F226B7"/>
    <w:rsid w:val="7A003514"/>
    <w:rsid w:val="7A462A03"/>
    <w:rsid w:val="7AA97E33"/>
    <w:rsid w:val="7B007056"/>
    <w:rsid w:val="7BC65BA9"/>
    <w:rsid w:val="7D87580C"/>
    <w:rsid w:val="7E484F9C"/>
    <w:rsid w:val="7E9F2F97"/>
    <w:rsid w:val="7EE05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Times New Roman" w:hAnsi="Times New Roman" w:eastAsia="仿宋_GB2312" w:cs="Times New Roman"/>
      <w:b/>
      <w:bCs/>
      <w:kern w:val="44"/>
      <w:sz w:val="44"/>
      <w:szCs w:val="44"/>
      <w:lang w:val="en-US" w:eastAsia="zh-CN" w:bidi="ar-SA"/>
    </w:rPr>
  </w:style>
  <w:style w:type="paragraph" w:styleId="3">
    <w:name w:val="heading 3"/>
    <w:next w:val="1"/>
    <w:qFormat/>
    <w:uiPriority w:val="0"/>
    <w:pPr>
      <w:keepNext/>
      <w:keepLines/>
      <w:widowControl w:val="0"/>
      <w:spacing w:line="600" w:lineRule="exact"/>
      <w:jc w:val="both"/>
      <w:outlineLvl w:val="2"/>
    </w:pPr>
    <w:rPr>
      <w:rFonts w:ascii="Times New Roman" w:hAnsi="Times New Roman" w:eastAsia="楷体_GB2312" w:cs="Times New Roman"/>
      <w:b/>
      <w:kern w:val="2"/>
      <w:sz w:val="30"/>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Salutation"/>
    <w:next w:val="1"/>
    <w:qFormat/>
    <w:uiPriority w:val="99"/>
    <w:pPr>
      <w:widowControl w:val="0"/>
      <w:jc w:val="both"/>
    </w:pPr>
    <w:rPr>
      <w:rFonts w:ascii="Times New Roman" w:hAnsi="Times New Roman" w:eastAsia="仿宋_GB2312" w:cs="Times New Roman"/>
      <w:kern w:val="2"/>
      <w:sz w:val="32"/>
      <w:szCs w:val="24"/>
      <w:lang w:val="en-US" w:eastAsia="zh-CN" w:bidi="ar-SA"/>
    </w:rPr>
  </w:style>
  <w:style w:type="paragraph" w:styleId="6">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7">
    <w:name w:val="Plain Text"/>
    <w:basedOn w:val="1"/>
    <w:unhideWhenUsed/>
    <w:qFormat/>
    <w:uiPriority w:val="99"/>
    <w:rPr>
      <w:rFonts w:ascii="宋体" w:hAnsi="Courier New"/>
      <w:sz w:val="32"/>
      <w:szCs w:val="21"/>
    </w:rPr>
  </w:style>
  <w:style w:type="paragraph" w:styleId="8">
    <w:name w:val="footer"/>
    <w:unhideWhenUsed/>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9">
    <w:name w:val="header"/>
    <w:unhideWhenUsed/>
    <w:qFormat/>
    <w:uiPriority w:val="99"/>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10">
    <w:name w:val="toc 2"/>
    <w:basedOn w:val="1"/>
    <w:next w:val="1"/>
    <w:qFormat/>
    <w:uiPriority w:val="0"/>
    <w:pPr>
      <w:ind w:left="420" w:leftChars="200"/>
    </w:pPr>
  </w:style>
  <w:style w:type="paragraph" w:styleId="11">
    <w:name w:val="Body Text 2"/>
    <w:qFormat/>
    <w:uiPriority w:val="0"/>
    <w:pPr>
      <w:spacing w:after="120" w:line="480" w:lineRule="auto"/>
    </w:pPr>
    <w:rPr>
      <w:rFonts w:ascii="Times New Roman" w:hAnsi="Times New Roman" w:eastAsia="宋体" w:cs="Times New Roman"/>
      <w:sz w:val="21"/>
      <w:szCs w:val="21"/>
      <w:lang w:val="en-US" w:eastAsia="zh-CN" w:bidi="ar-SA"/>
    </w:rPr>
  </w:style>
  <w:style w:type="paragraph" w:styleId="12">
    <w:name w:val="Normal (Web)"/>
    <w:qFormat/>
    <w:uiPriority w:val="0"/>
    <w:pPr>
      <w:spacing w:before="100" w:beforeAutospacing="1" w:after="100" w:afterAutospacing="1"/>
    </w:pPr>
    <w:rPr>
      <w:rFonts w:hint="eastAsia" w:ascii="宋体" w:hAnsi="宋体" w:eastAsia="宋体" w:cs="Times New Roman"/>
      <w:sz w:val="24"/>
      <w:szCs w:val="24"/>
      <w:lang w:val="en-US" w:eastAsia="zh-CN" w:bidi="ar-SA"/>
    </w:rPr>
  </w:style>
  <w:style w:type="table" w:styleId="1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tcPr>
      <w:tcBorders>
        <w:top w:val="single" w:color="auto" w:sz="4" w:space="0"/>
        <w:left w:val="single" w:color="auto" w:sz="4" w:space="0"/>
        <w:bottom w:val="single" w:color="auto" w:sz="4" w:space="0"/>
        <w:right w:val="single" w:color="auto" w:sz="4" w:space="0"/>
      </w:tcBorders>
    </w:tcPr>
  </w:style>
  <w:style w:type="character" w:styleId="16">
    <w:name w:val="page number"/>
    <w:qFormat/>
    <w:uiPriority w:val="0"/>
  </w:style>
  <w:style w:type="paragraph" w:customStyle="1" w:styleId="17">
    <w:name w:val="目次、标准名称标题"/>
    <w:next w:val="18"/>
    <w:qFormat/>
    <w:uiPriority w:val="0"/>
    <w:pPr>
      <w:keepNext/>
      <w:pageBreakBefore/>
      <w:shd w:val="clear" w:color="FFFFFF" w:fill="FFFFFF"/>
      <w:spacing w:before="640" w:after="560" w:line="460" w:lineRule="exact"/>
      <w:jc w:val="center"/>
      <w:outlineLvl w:val="0"/>
    </w:pPr>
    <w:rPr>
      <w:rFonts w:ascii="黑体" w:hAnsi="Times New Roman" w:eastAsia="黑体" w:cs="Times New Roman"/>
      <w:sz w:val="30"/>
      <w:lang w:val="en-US" w:eastAsia="zh-CN" w:bidi="ar-SA"/>
    </w:rPr>
  </w:style>
  <w:style w:type="paragraph" w:customStyle="1" w:styleId="18">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paragraph" w:customStyle="1" w:styleId="19">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table" w:customStyle="1" w:styleId="20">
    <w:name w:val="网格型_0"/>
    <w:unhideWhenUsed/>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21">
    <w:name w:val="样式1 标题一级（黑体三号）"/>
    <w:qFormat/>
    <w:uiPriority w:val="0"/>
    <w:pPr>
      <w:widowControl w:val="0"/>
      <w:spacing w:line="560" w:lineRule="exact"/>
      <w:ind w:firstLine="200" w:firstLineChars="200"/>
      <w:jc w:val="both"/>
    </w:pPr>
    <w:rPr>
      <w:rFonts w:hint="eastAsia" w:ascii="黑体" w:hAnsi="黑体" w:eastAsia="黑体" w:cs="黑体"/>
      <w:kern w:val="2"/>
      <w:sz w:val="32"/>
      <w:szCs w:val="32"/>
      <w:lang w:val="en-US" w:eastAsia="zh-CN" w:bidi="ar-SA"/>
    </w:rPr>
  </w:style>
  <w:style w:type="paragraph" w:customStyle="1" w:styleId="2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3">
    <w:name w:val="样式2 标题（楷体三号）"/>
    <w:autoRedefine/>
    <w:qFormat/>
    <w:uiPriority w:val="0"/>
    <w:pPr>
      <w:widowControl w:val="0"/>
      <w:spacing w:line="560" w:lineRule="exact"/>
      <w:jc w:val="center"/>
    </w:pPr>
    <w:rPr>
      <w:rFonts w:hint="eastAsia" w:ascii="楷体_GB2312" w:hAnsi="楷体_GB2312" w:eastAsia="楷体_GB2312" w:cs="Times New Roman"/>
      <w:kern w:val="2"/>
      <w:sz w:val="32"/>
      <w:szCs w:val="32"/>
      <w:lang w:val="en-US" w:eastAsia="zh-CN" w:bidi="ar-SA"/>
    </w:rPr>
  </w:style>
  <w:style w:type="table" w:customStyle="1" w:styleId="24">
    <w:name w:val="Table Normal_0"/>
    <w:qFormat/>
    <w:uiPriority w:val="0"/>
    <w:tblPr>
      <w:tblCellMar>
        <w:top w:w="0" w:type="dxa"/>
        <w:left w:w="0" w:type="dxa"/>
        <w:bottom w:w="0" w:type="dxa"/>
        <w:right w:w="0" w:type="dxa"/>
      </w:tblCellMar>
    </w:tblPr>
  </w:style>
  <w:style w:type="paragraph" w:styleId="25">
    <w:name w:val="List Paragraph"/>
    <w:basedOn w:val="1"/>
    <w:unhideWhenUsed/>
    <w:qFormat/>
    <w:uiPriority w:val="99"/>
    <w:pPr>
      <w:ind w:firstLine="420" w:firstLineChars="200"/>
    </w:pPr>
  </w:style>
  <w:style w:type="paragraph" w:customStyle="1" w:styleId="26">
    <w:name w:val="Table Paragraph"/>
    <w:qFormat/>
    <w:uiPriority w:val="1"/>
    <w:pPr>
      <w:widowControl w:val="0"/>
      <w:autoSpaceDE w:val="0"/>
      <w:autoSpaceDN w:val="0"/>
    </w:pPr>
    <w:rPr>
      <w:rFonts w:ascii="宋体" w:hAnsi="宋体" w:eastAsia="宋体" w:cs="宋体"/>
      <w:sz w:val="22"/>
      <w:szCs w:val="22"/>
      <w:lang w:val="en-US" w:eastAsia="zh-CN" w:bidi="ar-SA"/>
    </w:rPr>
  </w:style>
  <w:style w:type="paragraph" w:customStyle="1" w:styleId="27">
    <w:name w:val="Revision"/>
    <w:hidden/>
    <w:unhideWhenUsed/>
    <w:qFormat/>
    <w:uiPriority w:val="99"/>
    <w:rPr>
      <w:rFonts w:ascii="Times New Roman" w:hAnsi="Times New Roman" w:eastAsia="宋体" w:cs="Times New Roman"/>
      <w:kern w:val="2"/>
      <w:sz w:val="21"/>
      <w:szCs w:val="24"/>
      <w:lang w:val="en-US" w:eastAsia="zh-CN" w:bidi="ar-SA"/>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Table Text"/>
    <w:basedOn w:val="1"/>
    <w:semiHidden/>
    <w:qFormat/>
    <w:uiPriority w:val="0"/>
    <w:rPr>
      <w:rFonts w:ascii="Times New Roman" w:hAnsi="Times New Roman" w:eastAsia="Times New Roman" w:cs="Times New Roman"/>
      <w:sz w:val="20"/>
      <w:szCs w:val="20"/>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1839</Words>
  <Characters>2508</Characters>
  <Lines>2443</Lines>
  <Paragraphs>687</Paragraphs>
  <TotalTime>0</TotalTime>
  <ScaleCrop>false</ScaleCrop>
  <LinksUpToDate>false</LinksUpToDate>
  <CharactersWithSpaces>2649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2025-02-13T05:50:00Z</dcterms:created>
  <dc:creator>1+7</dc:creator>
  <cp:lastModifiedBy>cui</cp:lastModifiedBy>
  <dcterms:modified xsi:type="dcterms:W3CDTF">2026-05-14T02:40:23Z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AE02D256EEB54F5EB31A49390850EF41_13</vt:lpwstr>
  </property>
  <property fmtid="{D5CDD505-2E9C-101B-9397-08002B2CF9AE}" pid="3" name="KSOProductBuildVer">
    <vt:lpwstr>2052-12.1.0.25865</vt:lpwstr>
  </property>
  <property fmtid="{D5CDD505-2E9C-101B-9397-08002B2CF9AE}" pid="4" name="KSOTemplateDocerSaveRecord">
    <vt:lpwstr>eyJoZGlkIjoiMDk3M2U0ZDQ4YzMyZDhlMTI3OWMwYjE2N2QwMmUxMGEiLCJ1c2VySWQiOiI0Mjk3ODY0MzAifQ==</vt:lpwstr>
  </property>
</Properties>
</file>