
<file path=[Content_Types].xml><?xml version="1.0" encoding="utf-8"?>
<Types xmlns="http://schemas.openxmlformats.org/package/2006/content-types">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oter1.xml" ContentType="application/vnd.openxmlformats-officedocument.wordprocessingml.footer+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4A4CA80">
      <w:pPr>
        <w:snapToGrid w:val="0"/>
        <w:spacing w:line="560" w:lineRule="exact"/>
        <w:jc w:val="center"/>
        <w:rPr>
          <w:rFonts w:hint="eastAsia" w:ascii="方正小标宋简体" w:hAnsi="方正小标宋简体" w:eastAsia="方正小标宋简体" w:cs="方正小标宋简体"/>
          <w:sz w:val="44"/>
          <w:szCs w:val="44"/>
        </w:rPr>
      </w:pPr>
      <w:r>
        <w:rPr>
          <w:rFonts w:hint="eastAsia" w:ascii="方正小标宋简体" w:hAnsi="方正小标宋简体" w:eastAsia="方正小标宋简体" w:cs="方正小标宋简体"/>
          <w:sz w:val="44"/>
          <w:szCs w:val="44"/>
        </w:rPr>
        <w:t>东莞市羽绒服装产品质量监督抽查实施细则</w:t>
      </w:r>
    </w:p>
    <w:p w14:paraId="30F959EE">
      <w:pPr>
        <w:spacing w:line="560" w:lineRule="exact"/>
        <w:jc w:val="center"/>
        <w:rPr>
          <w:rFonts w:eastAsia="楷体_GB2312"/>
          <w:sz w:val="32"/>
          <w:szCs w:val="32"/>
        </w:rPr>
      </w:pPr>
      <w:r>
        <w:rPr>
          <w:rFonts w:hint="eastAsia" w:eastAsia="楷体_GB2312"/>
          <w:sz w:val="32"/>
          <w:szCs w:val="32"/>
        </w:rPr>
        <w:t>（2026年</w:t>
      </w:r>
      <w:r>
        <w:rPr>
          <w:rFonts w:hint="eastAsia" w:eastAsia="楷体_GB2312"/>
          <w:sz w:val="32"/>
          <w:szCs w:val="32"/>
          <w:lang w:val="en-US" w:eastAsia="zh-CN"/>
        </w:rPr>
        <w:t>第二</w:t>
      </w:r>
      <w:r>
        <w:rPr>
          <w:rFonts w:hint="eastAsia" w:eastAsia="楷体_GB2312"/>
          <w:sz w:val="32"/>
          <w:szCs w:val="32"/>
        </w:rPr>
        <w:t>版）</w:t>
      </w:r>
    </w:p>
    <w:p w14:paraId="68FBD999">
      <w:pPr>
        <w:snapToGrid w:val="0"/>
        <w:spacing w:line="560" w:lineRule="exact"/>
        <w:ind w:firstLine="359" w:firstLineChars="171"/>
        <w:rPr>
          <w:szCs w:val="21"/>
        </w:rPr>
      </w:pPr>
    </w:p>
    <w:p w14:paraId="20D7B021">
      <w:pPr>
        <w:snapToGrid w:val="0"/>
        <w:spacing w:line="560" w:lineRule="exact"/>
        <w:ind w:firstLine="640" w:firstLineChars="200"/>
        <w:rPr>
          <w:rFonts w:hint="eastAsia" w:ascii="黑体" w:hAnsi="黑体" w:eastAsia="黑体" w:cs="黑体"/>
          <w:sz w:val="32"/>
          <w:szCs w:val="32"/>
        </w:rPr>
      </w:pPr>
      <w:r>
        <w:rPr>
          <w:rFonts w:hint="eastAsia" w:ascii="黑体" w:hAnsi="黑体" w:eastAsia="黑体" w:cs="黑体"/>
          <w:sz w:val="32"/>
          <w:szCs w:val="32"/>
        </w:rPr>
        <w:t>1 抽样方法</w:t>
      </w:r>
    </w:p>
    <w:p w14:paraId="0D8CAAE6">
      <w:pPr>
        <w:snapToGrid w:val="0"/>
        <w:spacing w:line="560" w:lineRule="exact"/>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以随机抽样的方式在被抽样生产者、销售者的待销产品中抽取。</w:t>
      </w:r>
    </w:p>
    <w:p w14:paraId="6884E2EA">
      <w:pPr>
        <w:snapToGrid w:val="0"/>
        <w:spacing w:line="560" w:lineRule="exact"/>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随机数一般可使用随机数表等方法产生。</w:t>
      </w:r>
    </w:p>
    <w:p w14:paraId="14B2FECD">
      <w:pPr>
        <w:snapToGrid w:val="0"/>
        <w:spacing w:line="560" w:lineRule="exact"/>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每批次产品抽取样品2件/条/套，其中1件/条/套作为检验样品，另外1件/条/套作为备用样品。</w:t>
      </w:r>
    </w:p>
    <w:p w14:paraId="6664112A">
      <w:pPr>
        <w:snapToGrid w:val="0"/>
        <w:spacing w:line="560" w:lineRule="exact"/>
        <w:ind w:firstLine="640" w:firstLineChars="200"/>
        <w:rPr>
          <w:rFonts w:hint="eastAsia" w:ascii="仿宋_GB2312" w:hAnsi="仿宋_GB2312" w:eastAsia="仿宋_GB2312" w:cs="仿宋_GB2312"/>
          <w:sz w:val="32"/>
          <w:szCs w:val="32"/>
        </w:rPr>
      </w:pPr>
      <w:r>
        <w:rPr>
          <w:rFonts w:eastAsia="仿宋_GB2312"/>
          <w:sz w:val="32"/>
          <w:szCs w:val="32"/>
        </w:rPr>
        <w:t>跟踪抽查可以根据不合格项目情况适当减少抽样量（至少包括2个抽样量：1个是检验用，1个是备用），且须经组织监督抽查（或印发监督抽查方案）的市场监管部门同意；跟踪抽查的抽样量须同时符合如下要求：1.原则上跟踪抽查抽样量与上述常规抽查抽样量一致；2.抽样量以库存量为准（且不得多于本细则要求的常规抽查抽样量），且符合“国内待销产品”等要求。</w:t>
      </w:r>
    </w:p>
    <w:p w14:paraId="6307B8EA">
      <w:pPr>
        <w:snapToGrid w:val="0"/>
        <w:spacing w:line="560" w:lineRule="exact"/>
        <w:rPr>
          <w:szCs w:val="21"/>
        </w:rPr>
      </w:pPr>
    </w:p>
    <w:p w14:paraId="3A4DD162">
      <w:pPr>
        <w:snapToGrid w:val="0"/>
        <w:spacing w:line="560" w:lineRule="exact"/>
        <w:ind w:firstLine="640" w:firstLineChars="200"/>
        <w:rPr>
          <w:rFonts w:hint="eastAsia" w:ascii="黑体" w:hAnsi="黑体" w:eastAsia="黑体" w:cs="黑体"/>
          <w:sz w:val="32"/>
          <w:szCs w:val="32"/>
        </w:rPr>
      </w:pPr>
      <w:r>
        <w:rPr>
          <w:rFonts w:hint="eastAsia" w:ascii="黑体" w:hAnsi="黑体" w:eastAsia="黑体" w:cs="黑体"/>
          <w:sz w:val="32"/>
          <w:szCs w:val="32"/>
        </w:rPr>
        <w:t>2 检验依据</w:t>
      </w:r>
    </w:p>
    <w:tbl>
      <w:tblPr>
        <w:tblStyle w:val="12"/>
        <w:tblW w:w="917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61"/>
        <w:gridCol w:w="4126"/>
        <w:gridCol w:w="4087"/>
      </w:tblGrid>
      <w:tr w14:paraId="28B8E6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blHeader/>
        </w:trPr>
        <w:tc>
          <w:tcPr>
            <w:tcW w:w="961" w:type="dxa"/>
            <w:tcBorders>
              <w:top w:val="single" w:color="auto" w:sz="4" w:space="0"/>
              <w:left w:val="single" w:color="auto" w:sz="4" w:space="0"/>
              <w:bottom w:val="single" w:color="auto" w:sz="4" w:space="0"/>
              <w:right w:val="single" w:color="auto" w:sz="4" w:space="0"/>
            </w:tcBorders>
            <w:vAlign w:val="center"/>
          </w:tcPr>
          <w:p w14:paraId="5666776A">
            <w:pPr>
              <w:spacing w:line="560" w:lineRule="exact"/>
              <w:jc w:val="center"/>
              <w:rPr>
                <w:rFonts w:eastAsia="仿宋_GB2312" w:cs="仿宋_GB2312"/>
                <w:b/>
                <w:bCs/>
                <w:sz w:val="28"/>
                <w:szCs w:val="28"/>
                <w:lang w:bidi="ar"/>
              </w:rPr>
            </w:pPr>
            <w:r>
              <w:rPr>
                <w:rFonts w:hint="eastAsia" w:eastAsia="仿宋_GB2312" w:cs="仿宋_GB2312"/>
                <w:b/>
                <w:bCs/>
                <w:sz w:val="28"/>
                <w:szCs w:val="28"/>
                <w:lang w:bidi="ar"/>
              </w:rPr>
              <w:t>序号</w:t>
            </w:r>
          </w:p>
        </w:tc>
        <w:tc>
          <w:tcPr>
            <w:tcW w:w="4126" w:type="dxa"/>
            <w:tcBorders>
              <w:top w:val="single" w:color="auto" w:sz="4" w:space="0"/>
              <w:left w:val="single" w:color="auto" w:sz="4" w:space="0"/>
              <w:bottom w:val="single" w:color="auto" w:sz="4" w:space="0"/>
              <w:right w:val="single" w:color="auto" w:sz="4" w:space="0"/>
            </w:tcBorders>
            <w:vAlign w:val="center"/>
          </w:tcPr>
          <w:p w14:paraId="33FFFD0B">
            <w:pPr>
              <w:spacing w:line="560" w:lineRule="exact"/>
              <w:jc w:val="center"/>
              <w:rPr>
                <w:rFonts w:eastAsia="仿宋_GB2312" w:cs="仿宋_GB2312"/>
                <w:b/>
                <w:bCs/>
                <w:sz w:val="28"/>
                <w:szCs w:val="28"/>
                <w:lang w:bidi="ar"/>
              </w:rPr>
            </w:pPr>
            <w:r>
              <w:rPr>
                <w:rFonts w:hint="eastAsia" w:eastAsia="仿宋_GB2312" w:cs="仿宋_GB2312"/>
                <w:b/>
                <w:bCs/>
                <w:sz w:val="28"/>
                <w:szCs w:val="28"/>
                <w:lang w:bidi="ar"/>
              </w:rPr>
              <w:t>检验项目</w:t>
            </w:r>
          </w:p>
        </w:tc>
        <w:tc>
          <w:tcPr>
            <w:tcW w:w="4087" w:type="dxa"/>
            <w:tcBorders>
              <w:top w:val="single" w:color="auto" w:sz="4" w:space="0"/>
              <w:left w:val="single" w:color="auto" w:sz="4" w:space="0"/>
              <w:bottom w:val="single" w:color="auto" w:sz="4" w:space="0"/>
              <w:right w:val="single" w:color="auto" w:sz="4" w:space="0"/>
            </w:tcBorders>
            <w:vAlign w:val="center"/>
          </w:tcPr>
          <w:p w14:paraId="7E9B592C">
            <w:pPr>
              <w:spacing w:line="560" w:lineRule="exact"/>
              <w:jc w:val="center"/>
              <w:rPr>
                <w:rFonts w:eastAsia="仿宋_GB2312" w:cs="仿宋_GB2312"/>
                <w:b/>
                <w:bCs/>
                <w:sz w:val="28"/>
                <w:szCs w:val="28"/>
                <w:lang w:bidi="ar"/>
              </w:rPr>
            </w:pPr>
            <w:r>
              <w:rPr>
                <w:rFonts w:hint="eastAsia" w:eastAsia="仿宋_GB2312" w:cs="仿宋_GB2312"/>
                <w:b/>
                <w:bCs/>
                <w:sz w:val="28"/>
                <w:szCs w:val="28"/>
                <w:lang w:bidi="ar"/>
              </w:rPr>
              <w:t>检验方法</w:t>
            </w:r>
          </w:p>
        </w:tc>
      </w:tr>
      <w:tr w14:paraId="337CDB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961" w:type="dxa"/>
            <w:tcBorders>
              <w:top w:val="single" w:color="auto" w:sz="4" w:space="0"/>
              <w:left w:val="single" w:color="auto" w:sz="4" w:space="0"/>
              <w:bottom w:val="single" w:color="auto" w:sz="4" w:space="0"/>
              <w:right w:val="single" w:color="auto" w:sz="4" w:space="0"/>
            </w:tcBorders>
            <w:vAlign w:val="center"/>
          </w:tcPr>
          <w:p w14:paraId="586D67D3">
            <w:pPr>
              <w:spacing w:line="560" w:lineRule="exact"/>
              <w:jc w:val="center"/>
              <w:rPr>
                <w:rFonts w:eastAsia="仿宋_GB2312" w:cs="仿宋_GB2312"/>
                <w:color w:val="000000"/>
                <w:sz w:val="28"/>
                <w:szCs w:val="28"/>
              </w:rPr>
            </w:pPr>
            <w:r>
              <w:rPr>
                <w:rFonts w:hint="eastAsia" w:eastAsia="仿宋_GB2312" w:cs="仿宋_GB2312"/>
                <w:color w:val="000000"/>
                <w:sz w:val="28"/>
                <w:szCs w:val="28"/>
              </w:rPr>
              <w:t>1</w:t>
            </w:r>
          </w:p>
        </w:tc>
        <w:tc>
          <w:tcPr>
            <w:tcW w:w="4126" w:type="dxa"/>
            <w:tcBorders>
              <w:top w:val="single" w:color="auto" w:sz="4" w:space="0"/>
              <w:left w:val="single" w:color="auto" w:sz="4" w:space="0"/>
              <w:bottom w:val="single" w:color="auto" w:sz="4" w:space="0"/>
              <w:right w:val="single" w:color="auto" w:sz="4" w:space="0"/>
            </w:tcBorders>
            <w:vAlign w:val="center"/>
          </w:tcPr>
          <w:p w14:paraId="7834DD45">
            <w:pPr>
              <w:spacing w:line="560" w:lineRule="exact"/>
              <w:jc w:val="center"/>
              <w:rPr>
                <w:rFonts w:eastAsia="仿宋_GB2312" w:cs="仿宋_GB2312"/>
                <w:color w:val="000000"/>
                <w:sz w:val="28"/>
                <w:szCs w:val="28"/>
              </w:rPr>
            </w:pPr>
            <w:r>
              <w:rPr>
                <w:rFonts w:hint="eastAsia" w:eastAsia="仿宋_GB2312" w:cs="仿宋_GB2312"/>
                <w:color w:val="000000"/>
                <w:sz w:val="28"/>
                <w:szCs w:val="28"/>
              </w:rPr>
              <w:t>甲醛含量</w:t>
            </w:r>
          </w:p>
        </w:tc>
        <w:tc>
          <w:tcPr>
            <w:tcW w:w="4087" w:type="dxa"/>
            <w:tcBorders>
              <w:top w:val="single" w:color="auto" w:sz="4" w:space="0"/>
              <w:left w:val="single" w:color="auto" w:sz="4" w:space="0"/>
              <w:bottom w:val="single" w:color="auto" w:sz="4" w:space="0"/>
              <w:right w:val="single" w:color="auto" w:sz="4" w:space="0"/>
            </w:tcBorders>
            <w:vAlign w:val="center"/>
          </w:tcPr>
          <w:p w14:paraId="1F19952F">
            <w:pPr>
              <w:spacing w:line="560" w:lineRule="exact"/>
              <w:jc w:val="center"/>
              <w:rPr>
                <w:rFonts w:eastAsia="仿宋_GB2312" w:cs="仿宋_GB2312"/>
                <w:color w:val="000000"/>
                <w:sz w:val="28"/>
                <w:szCs w:val="28"/>
              </w:rPr>
            </w:pPr>
            <w:r>
              <w:rPr>
                <w:rFonts w:hint="eastAsia" w:eastAsia="仿宋_GB2312" w:cs="仿宋_GB2312"/>
                <w:color w:val="000000"/>
                <w:sz w:val="28"/>
                <w:szCs w:val="28"/>
              </w:rPr>
              <w:t>GB/T 2912.1—2009</w:t>
            </w:r>
          </w:p>
        </w:tc>
      </w:tr>
      <w:tr w14:paraId="19302A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961" w:type="dxa"/>
            <w:tcBorders>
              <w:top w:val="single" w:color="auto" w:sz="4" w:space="0"/>
              <w:left w:val="single" w:color="auto" w:sz="4" w:space="0"/>
              <w:bottom w:val="single" w:color="auto" w:sz="4" w:space="0"/>
              <w:right w:val="single" w:color="auto" w:sz="4" w:space="0"/>
            </w:tcBorders>
            <w:vAlign w:val="center"/>
          </w:tcPr>
          <w:p w14:paraId="580EFC1A">
            <w:pPr>
              <w:spacing w:line="560" w:lineRule="exact"/>
              <w:jc w:val="center"/>
              <w:rPr>
                <w:rFonts w:eastAsia="仿宋_GB2312" w:cs="仿宋_GB2312"/>
                <w:color w:val="000000"/>
                <w:sz w:val="28"/>
                <w:szCs w:val="28"/>
              </w:rPr>
            </w:pPr>
            <w:r>
              <w:rPr>
                <w:rFonts w:hint="eastAsia" w:eastAsia="仿宋_GB2312" w:cs="仿宋_GB2312"/>
                <w:color w:val="000000"/>
                <w:sz w:val="28"/>
                <w:szCs w:val="28"/>
              </w:rPr>
              <w:t>2</w:t>
            </w:r>
          </w:p>
        </w:tc>
        <w:tc>
          <w:tcPr>
            <w:tcW w:w="4126" w:type="dxa"/>
            <w:tcBorders>
              <w:top w:val="single" w:color="auto" w:sz="4" w:space="0"/>
              <w:left w:val="single" w:color="auto" w:sz="4" w:space="0"/>
              <w:bottom w:val="single" w:color="auto" w:sz="4" w:space="0"/>
              <w:right w:val="single" w:color="auto" w:sz="4" w:space="0"/>
            </w:tcBorders>
            <w:vAlign w:val="center"/>
          </w:tcPr>
          <w:p w14:paraId="51EA50D4">
            <w:pPr>
              <w:spacing w:line="560" w:lineRule="exact"/>
              <w:jc w:val="center"/>
              <w:rPr>
                <w:rFonts w:eastAsia="仿宋_GB2312" w:cs="仿宋_GB2312"/>
                <w:color w:val="000000"/>
                <w:sz w:val="28"/>
                <w:szCs w:val="28"/>
              </w:rPr>
            </w:pPr>
            <w:r>
              <w:rPr>
                <w:rFonts w:hint="eastAsia" w:eastAsia="仿宋_GB2312" w:cs="仿宋_GB2312"/>
                <w:color w:val="000000"/>
                <w:sz w:val="28"/>
                <w:szCs w:val="28"/>
              </w:rPr>
              <w:t>pH值</w:t>
            </w:r>
          </w:p>
        </w:tc>
        <w:tc>
          <w:tcPr>
            <w:tcW w:w="4087" w:type="dxa"/>
            <w:tcBorders>
              <w:top w:val="single" w:color="auto" w:sz="4" w:space="0"/>
              <w:left w:val="single" w:color="auto" w:sz="4" w:space="0"/>
              <w:bottom w:val="single" w:color="auto" w:sz="4" w:space="0"/>
              <w:right w:val="single" w:color="auto" w:sz="4" w:space="0"/>
            </w:tcBorders>
            <w:vAlign w:val="center"/>
          </w:tcPr>
          <w:p w14:paraId="252BB7A0">
            <w:pPr>
              <w:spacing w:line="560" w:lineRule="exact"/>
              <w:jc w:val="center"/>
              <w:rPr>
                <w:rFonts w:eastAsia="仿宋_GB2312" w:cs="仿宋_GB2312"/>
                <w:color w:val="000000"/>
                <w:sz w:val="28"/>
                <w:szCs w:val="28"/>
              </w:rPr>
            </w:pPr>
            <w:r>
              <w:rPr>
                <w:rFonts w:hint="eastAsia" w:eastAsia="仿宋_GB2312" w:cs="仿宋_GB2312"/>
                <w:color w:val="000000"/>
                <w:sz w:val="28"/>
                <w:szCs w:val="28"/>
              </w:rPr>
              <w:t>GB/T 7573—2009</w:t>
            </w:r>
          </w:p>
        </w:tc>
      </w:tr>
      <w:tr w14:paraId="676BDD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961" w:type="dxa"/>
            <w:tcBorders>
              <w:top w:val="single" w:color="auto" w:sz="4" w:space="0"/>
              <w:left w:val="single" w:color="auto" w:sz="4" w:space="0"/>
              <w:bottom w:val="single" w:color="auto" w:sz="4" w:space="0"/>
              <w:right w:val="single" w:color="auto" w:sz="4" w:space="0"/>
            </w:tcBorders>
            <w:vAlign w:val="center"/>
          </w:tcPr>
          <w:p w14:paraId="67CBEB07">
            <w:pPr>
              <w:spacing w:line="560" w:lineRule="exact"/>
              <w:jc w:val="center"/>
              <w:rPr>
                <w:rFonts w:eastAsia="仿宋_GB2312" w:cs="仿宋_GB2312"/>
                <w:color w:val="000000"/>
                <w:sz w:val="28"/>
                <w:szCs w:val="28"/>
              </w:rPr>
            </w:pPr>
            <w:r>
              <w:rPr>
                <w:rFonts w:hint="eastAsia" w:eastAsia="仿宋_GB2312" w:cs="仿宋_GB2312"/>
                <w:color w:val="000000"/>
                <w:sz w:val="28"/>
                <w:szCs w:val="28"/>
              </w:rPr>
              <w:t>3</w:t>
            </w:r>
          </w:p>
        </w:tc>
        <w:tc>
          <w:tcPr>
            <w:tcW w:w="4126" w:type="dxa"/>
            <w:tcBorders>
              <w:top w:val="single" w:color="auto" w:sz="4" w:space="0"/>
              <w:left w:val="single" w:color="auto" w:sz="4" w:space="0"/>
              <w:bottom w:val="single" w:color="auto" w:sz="4" w:space="0"/>
              <w:right w:val="single" w:color="auto" w:sz="4" w:space="0"/>
            </w:tcBorders>
            <w:vAlign w:val="center"/>
          </w:tcPr>
          <w:p w14:paraId="1504659B">
            <w:pPr>
              <w:spacing w:line="560" w:lineRule="exact"/>
              <w:jc w:val="center"/>
              <w:rPr>
                <w:rFonts w:eastAsia="仿宋_GB2312" w:cs="仿宋_GB2312"/>
                <w:color w:val="000000"/>
                <w:sz w:val="28"/>
                <w:szCs w:val="28"/>
              </w:rPr>
            </w:pPr>
            <w:r>
              <w:rPr>
                <w:rFonts w:hint="eastAsia" w:eastAsia="仿宋_GB2312" w:cs="仿宋_GB2312"/>
                <w:color w:val="000000"/>
                <w:sz w:val="28"/>
                <w:szCs w:val="28"/>
              </w:rPr>
              <w:t>可分解致癌芳香胺染料</w:t>
            </w:r>
          </w:p>
        </w:tc>
        <w:tc>
          <w:tcPr>
            <w:tcW w:w="4087" w:type="dxa"/>
            <w:tcBorders>
              <w:top w:val="single" w:color="auto" w:sz="4" w:space="0"/>
              <w:left w:val="single" w:color="auto" w:sz="4" w:space="0"/>
              <w:bottom w:val="single" w:color="auto" w:sz="4" w:space="0"/>
              <w:right w:val="single" w:color="auto" w:sz="4" w:space="0"/>
            </w:tcBorders>
            <w:vAlign w:val="center"/>
          </w:tcPr>
          <w:p w14:paraId="64BA9AA9">
            <w:pPr>
              <w:spacing w:line="560" w:lineRule="exact"/>
              <w:jc w:val="center"/>
              <w:rPr>
                <w:rFonts w:eastAsia="仿宋_GB2312" w:cs="仿宋_GB2312"/>
                <w:color w:val="000000"/>
                <w:sz w:val="28"/>
                <w:szCs w:val="28"/>
              </w:rPr>
            </w:pPr>
            <w:r>
              <w:rPr>
                <w:rFonts w:hint="eastAsia" w:eastAsia="仿宋_GB2312" w:cs="仿宋_GB2312"/>
                <w:color w:val="000000"/>
                <w:sz w:val="28"/>
                <w:szCs w:val="28"/>
              </w:rPr>
              <w:t>GB/T 17592—2024</w:t>
            </w:r>
          </w:p>
          <w:p w14:paraId="65CC3DCD">
            <w:pPr>
              <w:spacing w:line="560" w:lineRule="exact"/>
              <w:jc w:val="center"/>
              <w:rPr>
                <w:rFonts w:eastAsia="仿宋_GB2312" w:cs="仿宋_GB2312"/>
                <w:color w:val="000000"/>
                <w:sz w:val="28"/>
                <w:szCs w:val="28"/>
              </w:rPr>
            </w:pPr>
            <w:r>
              <w:rPr>
                <w:rFonts w:hint="eastAsia" w:eastAsia="仿宋_GB2312" w:cs="仿宋_GB2312"/>
                <w:color w:val="000000"/>
                <w:sz w:val="28"/>
                <w:szCs w:val="28"/>
              </w:rPr>
              <w:t>GB/T 23344—2009</w:t>
            </w:r>
          </w:p>
        </w:tc>
      </w:tr>
      <w:tr w14:paraId="5C0791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961" w:type="dxa"/>
            <w:tcBorders>
              <w:top w:val="single" w:color="auto" w:sz="4" w:space="0"/>
              <w:left w:val="single" w:color="auto" w:sz="4" w:space="0"/>
              <w:bottom w:val="single" w:color="auto" w:sz="4" w:space="0"/>
              <w:right w:val="single" w:color="auto" w:sz="4" w:space="0"/>
            </w:tcBorders>
            <w:vAlign w:val="center"/>
          </w:tcPr>
          <w:p w14:paraId="30252260">
            <w:pPr>
              <w:spacing w:line="560" w:lineRule="exact"/>
              <w:jc w:val="center"/>
              <w:rPr>
                <w:rFonts w:eastAsia="仿宋_GB2312" w:cs="仿宋_GB2312"/>
                <w:color w:val="000000"/>
                <w:sz w:val="28"/>
                <w:szCs w:val="28"/>
              </w:rPr>
            </w:pPr>
            <w:r>
              <w:rPr>
                <w:rFonts w:hint="eastAsia" w:eastAsia="仿宋_GB2312" w:cs="仿宋_GB2312"/>
                <w:color w:val="000000"/>
                <w:sz w:val="28"/>
                <w:szCs w:val="28"/>
              </w:rPr>
              <w:t>4</w:t>
            </w:r>
          </w:p>
        </w:tc>
        <w:tc>
          <w:tcPr>
            <w:tcW w:w="4126" w:type="dxa"/>
            <w:tcBorders>
              <w:top w:val="single" w:color="auto" w:sz="4" w:space="0"/>
              <w:left w:val="single" w:color="auto" w:sz="4" w:space="0"/>
              <w:bottom w:val="single" w:color="auto" w:sz="4" w:space="0"/>
              <w:right w:val="single" w:color="auto" w:sz="4" w:space="0"/>
            </w:tcBorders>
            <w:vAlign w:val="center"/>
          </w:tcPr>
          <w:p w14:paraId="1BA48A81">
            <w:pPr>
              <w:spacing w:line="560" w:lineRule="exact"/>
              <w:jc w:val="center"/>
              <w:rPr>
                <w:rFonts w:eastAsia="仿宋_GB2312" w:cs="仿宋_GB2312"/>
                <w:color w:val="000000"/>
                <w:sz w:val="28"/>
                <w:szCs w:val="28"/>
              </w:rPr>
            </w:pPr>
            <w:r>
              <w:rPr>
                <w:rFonts w:hint="eastAsia" w:eastAsia="仿宋_GB2312" w:cs="仿宋_GB2312"/>
                <w:color w:val="000000"/>
                <w:sz w:val="28"/>
                <w:szCs w:val="28"/>
              </w:rPr>
              <w:t>耐水色牢度</w:t>
            </w:r>
          </w:p>
        </w:tc>
        <w:tc>
          <w:tcPr>
            <w:tcW w:w="4087" w:type="dxa"/>
            <w:tcBorders>
              <w:top w:val="single" w:color="auto" w:sz="4" w:space="0"/>
              <w:left w:val="single" w:color="auto" w:sz="4" w:space="0"/>
              <w:bottom w:val="single" w:color="auto" w:sz="4" w:space="0"/>
              <w:right w:val="single" w:color="auto" w:sz="4" w:space="0"/>
            </w:tcBorders>
            <w:vAlign w:val="center"/>
          </w:tcPr>
          <w:p w14:paraId="1262313C">
            <w:pPr>
              <w:spacing w:line="560" w:lineRule="exact"/>
              <w:jc w:val="center"/>
              <w:rPr>
                <w:rFonts w:eastAsia="仿宋_GB2312" w:cs="仿宋_GB2312"/>
                <w:color w:val="000000"/>
                <w:sz w:val="28"/>
                <w:szCs w:val="28"/>
              </w:rPr>
            </w:pPr>
            <w:r>
              <w:rPr>
                <w:rFonts w:hint="eastAsia" w:eastAsia="仿宋_GB2312" w:cs="仿宋_GB2312"/>
                <w:color w:val="000000"/>
                <w:sz w:val="28"/>
                <w:szCs w:val="28"/>
              </w:rPr>
              <w:t>GB/T 5713—2013</w:t>
            </w:r>
          </w:p>
        </w:tc>
      </w:tr>
      <w:tr w14:paraId="5C3716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961" w:type="dxa"/>
            <w:tcBorders>
              <w:top w:val="single" w:color="auto" w:sz="4" w:space="0"/>
              <w:left w:val="single" w:color="auto" w:sz="4" w:space="0"/>
              <w:bottom w:val="single" w:color="auto" w:sz="4" w:space="0"/>
              <w:right w:val="single" w:color="auto" w:sz="4" w:space="0"/>
            </w:tcBorders>
            <w:vAlign w:val="center"/>
          </w:tcPr>
          <w:p w14:paraId="29611420">
            <w:pPr>
              <w:spacing w:line="560" w:lineRule="exact"/>
              <w:jc w:val="center"/>
              <w:rPr>
                <w:rFonts w:eastAsia="仿宋_GB2312" w:cs="仿宋_GB2312"/>
                <w:color w:val="000000"/>
                <w:sz w:val="28"/>
                <w:szCs w:val="28"/>
              </w:rPr>
            </w:pPr>
            <w:r>
              <w:rPr>
                <w:rFonts w:hint="eastAsia" w:eastAsia="仿宋_GB2312" w:cs="仿宋_GB2312"/>
                <w:color w:val="000000"/>
                <w:sz w:val="28"/>
                <w:szCs w:val="28"/>
              </w:rPr>
              <w:t>5</w:t>
            </w:r>
          </w:p>
        </w:tc>
        <w:tc>
          <w:tcPr>
            <w:tcW w:w="4126" w:type="dxa"/>
            <w:tcBorders>
              <w:top w:val="single" w:color="auto" w:sz="4" w:space="0"/>
              <w:left w:val="single" w:color="auto" w:sz="4" w:space="0"/>
              <w:bottom w:val="single" w:color="auto" w:sz="4" w:space="0"/>
              <w:right w:val="single" w:color="auto" w:sz="4" w:space="0"/>
            </w:tcBorders>
            <w:vAlign w:val="center"/>
          </w:tcPr>
          <w:p w14:paraId="0C4DD9F5">
            <w:pPr>
              <w:spacing w:line="560" w:lineRule="exact"/>
              <w:jc w:val="center"/>
              <w:rPr>
                <w:rFonts w:eastAsia="仿宋_GB2312" w:cs="仿宋_GB2312"/>
                <w:color w:val="000000"/>
                <w:sz w:val="28"/>
                <w:szCs w:val="28"/>
              </w:rPr>
            </w:pPr>
            <w:r>
              <w:rPr>
                <w:rFonts w:hint="eastAsia" w:eastAsia="仿宋_GB2312" w:cs="仿宋_GB2312"/>
                <w:color w:val="000000"/>
                <w:sz w:val="28"/>
                <w:szCs w:val="28"/>
              </w:rPr>
              <w:t>耐酸汗渍色牢度</w:t>
            </w:r>
          </w:p>
        </w:tc>
        <w:tc>
          <w:tcPr>
            <w:tcW w:w="4087" w:type="dxa"/>
            <w:tcBorders>
              <w:top w:val="single" w:color="auto" w:sz="4" w:space="0"/>
              <w:left w:val="single" w:color="auto" w:sz="4" w:space="0"/>
              <w:bottom w:val="single" w:color="auto" w:sz="4" w:space="0"/>
              <w:right w:val="single" w:color="auto" w:sz="4" w:space="0"/>
            </w:tcBorders>
            <w:vAlign w:val="center"/>
          </w:tcPr>
          <w:p w14:paraId="21AF46AD">
            <w:pPr>
              <w:spacing w:line="560" w:lineRule="exact"/>
              <w:jc w:val="center"/>
              <w:rPr>
                <w:rFonts w:eastAsia="仿宋_GB2312" w:cs="仿宋_GB2312"/>
                <w:color w:val="000000"/>
                <w:sz w:val="28"/>
                <w:szCs w:val="28"/>
              </w:rPr>
            </w:pPr>
            <w:r>
              <w:rPr>
                <w:rFonts w:hint="eastAsia" w:eastAsia="仿宋_GB2312" w:cs="仿宋_GB2312"/>
                <w:color w:val="000000"/>
                <w:sz w:val="28"/>
                <w:szCs w:val="28"/>
              </w:rPr>
              <w:t>GB/T 3922—2013</w:t>
            </w:r>
          </w:p>
        </w:tc>
      </w:tr>
      <w:tr w14:paraId="462B24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961" w:type="dxa"/>
            <w:tcBorders>
              <w:top w:val="single" w:color="auto" w:sz="4" w:space="0"/>
              <w:left w:val="single" w:color="auto" w:sz="4" w:space="0"/>
              <w:bottom w:val="single" w:color="auto" w:sz="4" w:space="0"/>
              <w:right w:val="single" w:color="auto" w:sz="4" w:space="0"/>
            </w:tcBorders>
            <w:vAlign w:val="center"/>
          </w:tcPr>
          <w:p w14:paraId="4877E8F4">
            <w:pPr>
              <w:spacing w:line="560" w:lineRule="exact"/>
              <w:jc w:val="center"/>
              <w:rPr>
                <w:rFonts w:eastAsia="仿宋_GB2312" w:cs="仿宋_GB2312"/>
                <w:color w:val="000000"/>
                <w:sz w:val="28"/>
                <w:szCs w:val="28"/>
              </w:rPr>
            </w:pPr>
            <w:r>
              <w:rPr>
                <w:rFonts w:hint="eastAsia" w:eastAsia="仿宋_GB2312" w:cs="仿宋_GB2312"/>
                <w:color w:val="000000"/>
                <w:sz w:val="28"/>
                <w:szCs w:val="28"/>
              </w:rPr>
              <w:t>6</w:t>
            </w:r>
          </w:p>
        </w:tc>
        <w:tc>
          <w:tcPr>
            <w:tcW w:w="4126" w:type="dxa"/>
            <w:tcBorders>
              <w:top w:val="single" w:color="auto" w:sz="4" w:space="0"/>
              <w:left w:val="single" w:color="auto" w:sz="4" w:space="0"/>
              <w:bottom w:val="single" w:color="auto" w:sz="4" w:space="0"/>
              <w:right w:val="single" w:color="auto" w:sz="4" w:space="0"/>
            </w:tcBorders>
            <w:vAlign w:val="center"/>
          </w:tcPr>
          <w:p w14:paraId="3B30A478">
            <w:pPr>
              <w:spacing w:line="560" w:lineRule="exact"/>
              <w:jc w:val="center"/>
              <w:rPr>
                <w:rFonts w:eastAsia="仿宋_GB2312" w:cs="仿宋_GB2312"/>
                <w:color w:val="000000"/>
                <w:sz w:val="28"/>
                <w:szCs w:val="28"/>
              </w:rPr>
            </w:pPr>
            <w:r>
              <w:rPr>
                <w:rFonts w:hint="eastAsia" w:eastAsia="仿宋_GB2312" w:cs="仿宋_GB2312"/>
                <w:color w:val="000000"/>
                <w:sz w:val="28"/>
                <w:szCs w:val="28"/>
              </w:rPr>
              <w:t>耐碱汗渍色牢度</w:t>
            </w:r>
          </w:p>
        </w:tc>
        <w:tc>
          <w:tcPr>
            <w:tcW w:w="4087" w:type="dxa"/>
            <w:tcBorders>
              <w:top w:val="single" w:color="auto" w:sz="4" w:space="0"/>
              <w:left w:val="single" w:color="auto" w:sz="4" w:space="0"/>
              <w:bottom w:val="single" w:color="auto" w:sz="4" w:space="0"/>
              <w:right w:val="single" w:color="auto" w:sz="4" w:space="0"/>
            </w:tcBorders>
            <w:vAlign w:val="center"/>
          </w:tcPr>
          <w:p w14:paraId="5422628A">
            <w:pPr>
              <w:spacing w:line="560" w:lineRule="exact"/>
              <w:jc w:val="center"/>
              <w:rPr>
                <w:rFonts w:eastAsia="仿宋_GB2312" w:cs="仿宋_GB2312"/>
                <w:color w:val="000000"/>
                <w:sz w:val="28"/>
                <w:szCs w:val="28"/>
              </w:rPr>
            </w:pPr>
            <w:r>
              <w:rPr>
                <w:rFonts w:hint="eastAsia" w:eastAsia="仿宋_GB2312" w:cs="仿宋_GB2312"/>
                <w:color w:val="000000"/>
                <w:sz w:val="28"/>
                <w:szCs w:val="28"/>
              </w:rPr>
              <w:t>GB/T 3922—2013</w:t>
            </w:r>
          </w:p>
        </w:tc>
      </w:tr>
      <w:tr w14:paraId="5A5717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961" w:type="dxa"/>
            <w:tcBorders>
              <w:top w:val="single" w:color="auto" w:sz="4" w:space="0"/>
              <w:left w:val="single" w:color="auto" w:sz="4" w:space="0"/>
              <w:bottom w:val="single" w:color="auto" w:sz="4" w:space="0"/>
              <w:right w:val="single" w:color="auto" w:sz="4" w:space="0"/>
            </w:tcBorders>
            <w:vAlign w:val="center"/>
          </w:tcPr>
          <w:p w14:paraId="00333A17">
            <w:pPr>
              <w:spacing w:line="560" w:lineRule="exact"/>
              <w:jc w:val="center"/>
              <w:rPr>
                <w:rFonts w:eastAsia="仿宋_GB2312" w:cs="仿宋_GB2312"/>
                <w:color w:val="000000"/>
                <w:sz w:val="28"/>
                <w:szCs w:val="28"/>
              </w:rPr>
            </w:pPr>
            <w:r>
              <w:rPr>
                <w:rFonts w:hint="eastAsia" w:eastAsia="仿宋_GB2312" w:cs="仿宋_GB2312"/>
                <w:color w:val="000000"/>
                <w:sz w:val="28"/>
                <w:szCs w:val="28"/>
              </w:rPr>
              <w:t>7</w:t>
            </w:r>
          </w:p>
        </w:tc>
        <w:tc>
          <w:tcPr>
            <w:tcW w:w="4126" w:type="dxa"/>
            <w:tcBorders>
              <w:top w:val="single" w:color="auto" w:sz="4" w:space="0"/>
              <w:left w:val="single" w:color="auto" w:sz="4" w:space="0"/>
              <w:bottom w:val="single" w:color="auto" w:sz="4" w:space="0"/>
              <w:right w:val="single" w:color="auto" w:sz="4" w:space="0"/>
            </w:tcBorders>
            <w:vAlign w:val="center"/>
          </w:tcPr>
          <w:p w14:paraId="4848301D">
            <w:pPr>
              <w:spacing w:line="560" w:lineRule="exact"/>
              <w:jc w:val="center"/>
              <w:rPr>
                <w:rFonts w:eastAsia="仿宋_GB2312" w:cs="仿宋_GB2312"/>
                <w:color w:val="000000"/>
                <w:sz w:val="28"/>
                <w:szCs w:val="28"/>
              </w:rPr>
            </w:pPr>
            <w:r>
              <w:rPr>
                <w:rFonts w:hint="eastAsia" w:eastAsia="仿宋_GB2312" w:cs="仿宋_GB2312"/>
                <w:color w:val="000000"/>
                <w:sz w:val="28"/>
                <w:szCs w:val="28"/>
              </w:rPr>
              <w:t>耐干摩擦色牢度</w:t>
            </w:r>
          </w:p>
        </w:tc>
        <w:tc>
          <w:tcPr>
            <w:tcW w:w="4087" w:type="dxa"/>
            <w:tcBorders>
              <w:top w:val="single" w:color="auto" w:sz="4" w:space="0"/>
              <w:left w:val="single" w:color="auto" w:sz="4" w:space="0"/>
              <w:bottom w:val="single" w:color="auto" w:sz="4" w:space="0"/>
              <w:right w:val="single" w:color="auto" w:sz="4" w:space="0"/>
            </w:tcBorders>
            <w:vAlign w:val="center"/>
          </w:tcPr>
          <w:p w14:paraId="146AA560">
            <w:pPr>
              <w:spacing w:line="560" w:lineRule="exact"/>
              <w:jc w:val="center"/>
              <w:rPr>
                <w:rFonts w:eastAsia="仿宋_GB2312" w:cs="仿宋_GB2312"/>
                <w:color w:val="000000"/>
                <w:sz w:val="28"/>
                <w:szCs w:val="28"/>
              </w:rPr>
            </w:pPr>
            <w:r>
              <w:rPr>
                <w:rFonts w:hint="eastAsia" w:eastAsia="仿宋_GB2312" w:cs="仿宋_GB2312"/>
                <w:color w:val="000000"/>
                <w:sz w:val="28"/>
                <w:szCs w:val="28"/>
              </w:rPr>
              <w:t>GB/T 3920—2008</w:t>
            </w:r>
          </w:p>
        </w:tc>
      </w:tr>
      <w:tr w14:paraId="192EC2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961" w:type="dxa"/>
            <w:tcBorders>
              <w:top w:val="single" w:color="auto" w:sz="4" w:space="0"/>
              <w:left w:val="single" w:color="auto" w:sz="4" w:space="0"/>
              <w:bottom w:val="single" w:color="auto" w:sz="4" w:space="0"/>
              <w:right w:val="single" w:color="auto" w:sz="4" w:space="0"/>
            </w:tcBorders>
            <w:vAlign w:val="center"/>
          </w:tcPr>
          <w:p w14:paraId="5A375D0B">
            <w:pPr>
              <w:spacing w:line="560" w:lineRule="exact"/>
              <w:jc w:val="center"/>
              <w:rPr>
                <w:rFonts w:eastAsia="仿宋_GB2312" w:cs="仿宋_GB2312"/>
                <w:color w:val="000000"/>
                <w:sz w:val="28"/>
                <w:szCs w:val="28"/>
              </w:rPr>
            </w:pPr>
            <w:r>
              <w:rPr>
                <w:rFonts w:hint="eastAsia" w:eastAsia="仿宋_GB2312" w:cs="仿宋_GB2312"/>
                <w:color w:val="000000"/>
                <w:sz w:val="28"/>
                <w:szCs w:val="28"/>
              </w:rPr>
              <w:t>8</w:t>
            </w:r>
          </w:p>
        </w:tc>
        <w:tc>
          <w:tcPr>
            <w:tcW w:w="4126" w:type="dxa"/>
            <w:tcBorders>
              <w:top w:val="single" w:color="auto" w:sz="4" w:space="0"/>
              <w:left w:val="single" w:color="auto" w:sz="4" w:space="0"/>
              <w:bottom w:val="single" w:color="auto" w:sz="4" w:space="0"/>
              <w:right w:val="single" w:color="auto" w:sz="4" w:space="0"/>
            </w:tcBorders>
            <w:vAlign w:val="center"/>
          </w:tcPr>
          <w:p w14:paraId="18F95A99">
            <w:pPr>
              <w:spacing w:line="560" w:lineRule="exact"/>
              <w:jc w:val="center"/>
              <w:rPr>
                <w:rFonts w:eastAsia="仿宋_GB2312" w:cs="仿宋_GB2312"/>
                <w:color w:val="000000"/>
                <w:sz w:val="28"/>
                <w:szCs w:val="28"/>
              </w:rPr>
            </w:pPr>
            <w:r>
              <w:rPr>
                <w:rFonts w:hint="eastAsia" w:eastAsia="仿宋_GB2312" w:cs="仿宋_GB2312"/>
                <w:color w:val="000000"/>
                <w:sz w:val="28"/>
                <w:szCs w:val="28"/>
              </w:rPr>
              <w:t>异味</w:t>
            </w:r>
          </w:p>
        </w:tc>
        <w:tc>
          <w:tcPr>
            <w:tcW w:w="4087" w:type="dxa"/>
            <w:tcBorders>
              <w:top w:val="single" w:color="auto" w:sz="4" w:space="0"/>
              <w:left w:val="single" w:color="auto" w:sz="4" w:space="0"/>
              <w:bottom w:val="single" w:color="auto" w:sz="4" w:space="0"/>
              <w:right w:val="single" w:color="auto" w:sz="4" w:space="0"/>
            </w:tcBorders>
            <w:vAlign w:val="center"/>
          </w:tcPr>
          <w:p w14:paraId="31154CC4">
            <w:pPr>
              <w:spacing w:line="560" w:lineRule="exact"/>
              <w:jc w:val="center"/>
              <w:rPr>
                <w:rFonts w:eastAsia="仿宋_GB2312" w:cs="仿宋_GB2312"/>
                <w:color w:val="000000"/>
                <w:sz w:val="28"/>
                <w:szCs w:val="28"/>
              </w:rPr>
            </w:pPr>
            <w:r>
              <w:rPr>
                <w:rFonts w:hint="eastAsia" w:eastAsia="仿宋_GB2312" w:cs="仿宋_GB2312"/>
                <w:color w:val="000000"/>
                <w:sz w:val="28"/>
                <w:szCs w:val="28"/>
              </w:rPr>
              <w:t>GB 18401—2010</w:t>
            </w:r>
          </w:p>
        </w:tc>
      </w:tr>
      <w:tr w14:paraId="3B5D97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961" w:type="dxa"/>
            <w:tcBorders>
              <w:top w:val="single" w:color="auto" w:sz="4" w:space="0"/>
              <w:left w:val="single" w:color="auto" w:sz="4" w:space="0"/>
              <w:bottom w:val="single" w:color="auto" w:sz="4" w:space="0"/>
              <w:right w:val="single" w:color="auto" w:sz="4" w:space="0"/>
            </w:tcBorders>
            <w:vAlign w:val="center"/>
          </w:tcPr>
          <w:p w14:paraId="31FB17D6">
            <w:pPr>
              <w:spacing w:line="560" w:lineRule="exact"/>
              <w:jc w:val="center"/>
              <w:rPr>
                <w:rFonts w:eastAsia="仿宋_GB2312" w:cs="仿宋_GB2312"/>
                <w:color w:val="000000"/>
                <w:sz w:val="28"/>
                <w:szCs w:val="28"/>
              </w:rPr>
            </w:pPr>
            <w:r>
              <w:rPr>
                <w:rFonts w:hint="eastAsia" w:eastAsia="仿宋_GB2312" w:cs="仿宋_GB2312"/>
                <w:color w:val="000000"/>
                <w:sz w:val="28"/>
                <w:szCs w:val="28"/>
              </w:rPr>
              <w:t>9</w:t>
            </w:r>
          </w:p>
        </w:tc>
        <w:tc>
          <w:tcPr>
            <w:tcW w:w="4126" w:type="dxa"/>
            <w:tcBorders>
              <w:top w:val="single" w:color="auto" w:sz="4" w:space="0"/>
              <w:left w:val="single" w:color="auto" w:sz="4" w:space="0"/>
              <w:bottom w:val="single" w:color="auto" w:sz="4" w:space="0"/>
              <w:right w:val="single" w:color="auto" w:sz="4" w:space="0"/>
            </w:tcBorders>
            <w:vAlign w:val="center"/>
          </w:tcPr>
          <w:p w14:paraId="08CE41DD">
            <w:pPr>
              <w:spacing w:line="560" w:lineRule="exact"/>
              <w:jc w:val="center"/>
              <w:rPr>
                <w:rFonts w:eastAsia="仿宋_GB2312" w:cs="仿宋_GB2312"/>
                <w:color w:val="000000"/>
                <w:sz w:val="28"/>
                <w:szCs w:val="28"/>
              </w:rPr>
            </w:pPr>
            <w:r>
              <w:rPr>
                <w:rFonts w:hint="eastAsia" w:eastAsia="仿宋_GB2312" w:cs="仿宋_GB2312"/>
                <w:color w:val="000000"/>
                <w:sz w:val="28"/>
                <w:szCs w:val="28"/>
              </w:rPr>
              <w:t>纤维含量</w:t>
            </w:r>
          </w:p>
        </w:tc>
        <w:tc>
          <w:tcPr>
            <w:tcW w:w="4087" w:type="dxa"/>
            <w:tcBorders>
              <w:top w:val="single" w:color="auto" w:sz="4" w:space="0"/>
              <w:left w:val="single" w:color="auto" w:sz="4" w:space="0"/>
              <w:bottom w:val="single" w:color="auto" w:sz="4" w:space="0"/>
              <w:right w:val="single" w:color="auto" w:sz="4" w:space="0"/>
            </w:tcBorders>
            <w:vAlign w:val="center"/>
          </w:tcPr>
          <w:p w14:paraId="6BC17BF2">
            <w:pPr>
              <w:spacing w:line="560" w:lineRule="exact"/>
              <w:jc w:val="center"/>
              <w:rPr>
                <w:rFonts w:eastAsia="仿宋_GB2312" w:cs="仿宋_GB2312"/>
                <w:color w:val="000000"/>
                <w:sz w:val="28"/>
                <w:szCs w:val="28"/>
              </w:rPr>
            </w:pPr>
            <w:r>
              <w:rPr>
                <w:rFonts w:hint="eastAsia" w:eastAsia="仿宋_GB2312" w:cs="仿宋_GB2312"/>
                <w:color w:val="000000"/>
                <w:sz w:val="28"/>
                <w:szCs w:val="28"/>
              </w:rPr>
              <w:t>FZ/T 01057.1—2007</w:t>
            </w:r>
          </w:p>
          <w:p w14:paraId="78BCE9BF">
            <w:pPr>
              <w:spacing w:line="560" w:lineRule="exact"/>
              <w:jc w:val="center"/>
              <w:rPr>
                <w:rFonts w:eastAsia="仿宋_GB2312" w:cs="仿宋_GB2312"/>
                <w:color w:val="000000"/>
                <w:sz w:val="28"/>
                <w:szCs w:val="28"/>
              </w:rPr>
            </w:pPr>
            <w:r>
              <w:rPr>
                <w:rFonts w:hint="eastAsia" w:eastAsia="仿宋_GB2312" w:cs="仿宋_GB2312"/>
                <w:color w:val="000000"/>
                <w:sz w:val="28"/>
                <w:szCs w:val="28"/>
              </w:rPr>
              <w:t>FZ/T 01057.2—2007</w:t>
            </w:r>
          </w:p>
          <w:p w14:paraId="026047E4">
            <w:pPr>
              <w:spacing w:line="560" w:lineRule="exact"/>
              <w:jc w:val="center"/>
              <w:rPr>
                <w:rFonts w:eastAsia="仿宋_GB2312" w:cs="仿宋_GB2312"/>
                <w:color w:val="000000"/>
                <w:sz w:val="28"/>
                <w:szCs w:val="28"/>
              </w:rPr>
            </w:pPr>
            <w:r>
              <w:rPr>
                <w:rFonts w:hint="eastAsia" w:eastAsia="仿宋_GB2312" w:cs="仿宋_GB2312"/>
                <w:color w:val="000000"/>
                <w:sz w:val="28"/>
                <w:szCs w:val="28"/>
              </w:rPr>
              <w:t>FZ/T 01057.3—2007</w:t>
            </w:r>
          </w:p>
          <w:p w14:paraId="42B2A0E9">
            <w:pPr>
              <w:spacing w:line="560" w:lineRule="exact"/>
              <w:jc w:val="center"/>
              <w:rPr>
                <w:rFonts w:eastAsia="仿宋_GB2312" w:cs="仿宋_GB2312"/>
                <w:color w:val="000000"/>
                <w:sz w:val="28"/>
                <w:szCs w:val="28"/>
              </w:rPr>
            </w:pPr>
            <w:r>
              <w:rPr>
                <w:rFonts w:hint="eastAsia" w:eastAsia="仿宋_GB2312" w:cs="仿宋_GB2312"/>
                <w:color w:val="000000"/>
                <w:sz w:val="28"/>
                <w:szCs w:val="28"/>
              </w:rPr>
              <w:t>FZ/T 01057.4—2007</w:t>
            </w:r>
          </w:p>
          <w:p w14:paraId="59D3F57E">
            <w:pPr>
              <w:spacing w:line="560" w:lineRule="exact"/>
              <w:jc w:val="center"/>
              <w:rPr>
                <w:rFonts w:eastAsia="仿宋_GB2312" w:cs="仿宋_GB2312"/>
                <w:color w:val="000000"/>
                <w:sz w:val="28"/>
                <w:szCs w:val="28"/>
              </w:rPr>
            </w:pPr>
            <w:r>
              <w:rPr>
                <w:rFonts w:hint="eastAsia" w:eastAsia="仿宋_GB2312" w:cs="仿宋_GB2312"/>
                <w:color w:val="000000"/>
                <w:sz w:val="28"/>
                <w:szCs w:val="28"/>
              </w:rPr>
              <w:t>GB/T 2910.1—2009</w:t>
            </w:r>
          </w:p>
          <w:p w14:paraId="337DD45E">
            <w:pPr>
              <w:spacing w:line="560" w:lineRule="exact"/>
              <w:jc w:val="center"/>
              <w:rPr>
                <w:rFonts w:eastAsia="仿宋_GB2312" w:cs="仿宋_GB2312"/>
                <w:color w:val="000000"/>
                <w:sz w:val="28"/>
                <w:szCs w:val="28"/>
              </w:rPr>
            </w:pPr>
            <w:r>
              <w:rPr>
                <w:rFonts w:hint="eastAsia" w:eastAsia="仿宋_GB2312" w:cs="仿宋_GB2312"/>
                <w:color w:val="000000"/>
                <w:sz w:val="28"/>
                <w:szCs w:val="28"/>
              </w:rPr>
              <w:t>GB/T 2910.2—2009</w:t>
            </w:r>
          </w:p>
          <w:p w14:paraId="7D48DBB5">
            <w:pPr>
              <w:spacing w:line="560" w:lineRule="exact"/>
              <w:jc w:val="center"/>
              <w:rPr>
                <w:rFonts w:eastAsia="仿宋_GB2312" w:cs="仿宋_GB2312"/>
                <w:color w:val="000000"/>
                <w:sz w:val="28"/>
                <w:szCs w:val="28"/>
              </w:rPr>
            </w:pPr>
            <w:r>
              <w:rPr>
                <w:rFonts w:hint="eastAsia" w:eastAsia="仿宋_GB2312" w:cs="仿宋_GB2312"/>
                <w:color w:val="000000"/>
                <w:sz w:val="28"/>
                <w:szCs w:val="28"/>
              </w:rPr>
              <w:t>GB/T 2910.3—2009</w:t>
            </w:r>
          </w:p>
          <w:p w14:paraId="6F21AC7B">
            <w:pPr>
              <w:spacing w:line="560" w:lineRule="exact"/>
              <w:jc w:val="center"/>
              <w:rPr>
                <w:rFonts w:eastAsia="仿宋_GB2312" w:cs="仿宋_GB2312"/>
                <w:color w:val="000000"/>
                <w:sz w:val="28"/>
                <w:szCs w:val="28"/>
              </w:rPr>
            </w:pPr>
            <w:r>
              <w:rPr>
                <w:rFonts w:hint="eastAsia" w:eastAsia="仿宋_GB2312" w:cs="仿宋_GB2312"/>
                <w:color w:val="000000"/>
                <w:sz w:val="28"/>
                <w:szCs w:val="28"/>
              </w:rPr>
              <w:t>GB/T 2910.4—2022</w:t>
            </w:r>
          </w:p>
          <w:p w14:paraId="79E2E317">
            <w:pPr>
              <w:spacing w:line="560" w:lineRule="exact"/>
              <w:jc w:val="center"/>
              <w:rPr>
                <w:rFonts w:eastAsia="仿宋_GB2312" w:cs="仿宋_GB2312"/>
                <w:color w:val="000000"/>
                <w:sz w:val="28"/>
                <w:szCs w:val="28"/>
              </w:rPr>
            </w:pPr>
            <w:r>
              <w:rPr>
                <w:rFonts w:hint="eastAsia" w:eastAsia="仿宋_GB2312" w:cs="仿宋_GB2312"/>
                <w:color w:val="000000"/>
                <w:sz w:val="28"/>
                <w:szCs w:val="28"/>
              </w:rPr>
              <w:t>GB/T 2910.5—2009</w:t>
            </w:r>
          </w:p>
          <w:p w14:paraId="102EE5AA">
            <w:pPr>
              <w:spacing w:line="560" w:lineRule="exact"/>
              <w:jc w:val="center"/>
              <w:rPr>
                <w:rFonts w:eastAsia="仿宋_GB2312" w:cs="仿宋_GB2312"/>
                <w:color w:val="000000"/>
                <w:sz w:val="28"/>
                <w:szCs w:val="28"/>
              </w:rPr>
            </w:pPr>
            <w:r>
              <w:rPr>
                <w:rFonts w:hint="eastAsia" w:eastAsia="仿宋_GB2312" w:cs="仿宋_GB2312"/>
                <w:color w:val="000000"/>
                <w:sz w:val="28"/>
                <w:szCs w:val="28"/>
              </w:rPr>
              <w:t>GB/T 2910.6—2009</w:t>
            </w:r>
          </w:p>
          <w:p w14:paraId="722D6B6B">
            <w:pPr>
              <w:spacing w:line="560" w:lineRule="exact"/>
              <w:jc w:val="center"/>
              <w:rPr>
                <w:rFonts w:eastAsia="仿宋_GB2312" w:cs="仿宋_GB2312"/>
                <w:color w:val="000000"/>
                <w:sz w:val="28"/>
                <w:szCs w:val="28"/>
              </w:rPr>
            </w:pPr>
            <w:r>
              <w:rPr>
                <w:rFonts w:hint="eastAsia" w:eastAsia="仿宋_GB2312" w:cs="仿宋_GB2312"/>
                <w:color w:val="000000"/>
                <w:sz w:val="28"/>
                <w:szCs w:val="28"/>
              </w:rPr>
              <w:t>GB/T 2910.7—2009</w:t>
            </w:r>
          </w:p>
          <w:p w14:paraId="4532A2E4">
            <w:pPr>
              <w:spacing w:line="560" w:lineRule="exact"/>
              <w:jc w:val="center"/>
              <w:rPr>
                <w:rFonts w:eastAsia="仿宋_GB2312" w:cs="仿宋_GB2312"/>
                <w:sz w:val="28"/>
                <w:szCs w:val="28"/>
              </w:rPr>
            </w:pPr>
            <w:r>
              <w:rPr>
                <w:rFonts w:hint="eastAsia" w:eastAsia="仿宋_GB2312" w:cs="仿宋_GB2312"/>
                <w:sz w:val="28"/>
                <w:szCs w:val="28"/>
              </w:rPr>
              <w:t>GB/T 2910.11—20</w:t>
            </w:r>
            <w:r>
              <w:rPr>
                <w:rFonts w:hint="eastAsia" w:cs="仿宋_GB2312"/>
                <w:sz w:val="28"/>
                <w:szCs w:val="28"/>
              </w:rPr>
              <w:t>24</w:t>
            </w:r>
          </w:p>
          <w:p w14:paraId="429FD633">
            <w:pPr>
              <w:spacing w:line="560" w:lineRule="exact"/>
              <w:jc w:val="center"/>
              <w:rPr>
                <w:rFonts w:eastAsia="仿宋_GB2312" w:cs="仿宋_GB2312"/>
                <w:color w:val="000000"/>
                <w:sz w:val="28"/>
                <w:szCs w:val="28"/>
              </w:rPr>
            </w:pPr>
            <w:r>
              <w:rPr>
                <w:rFonts w:hint="eastAsia" w:eastAsia="仿宋_GB2312" w:cs="仿宋_GB2312"/>
                <w:color w:val="000000"/>
                <w:sz w:val="28"/>
                <w:szCs w:val="28"/>
              </w:rPr>
              <w:t>GB/T 2910.12—2023</w:t>
            </w:r>
          </w:p>
          <w:p w14:paraId="08E94669">
            <w:pPr>
              <w:spacing w:line="560" w:lineRule="exact"/>
              <w:jc w:val="center"/>
              <w:rPr>
                <w:rFonts w:eastAsia="仿宋_GB2312" w:cs="仿宋_GB2312"/>
                <w:color w:val="000000"/>
                <w:sz w:val="28"/>
                <w:szCs w:val="28"/>
              </w:rPr>
            </w:pPr>
            <w:r>
              <w:rPr>
                <w:rFonts w:hint="eastAsia" w:eastAsia="仿宋_GB2312" w:cs="仿宋_GB2312"/>
                <w:color w:val="000000"/>
                <w:sz w:val="28"/>
                <w:szCs w:val="28"/>
              </w:rPr>
              <w:t>GB/T 2910.20—2009</w:t>
            </w:r>
          </w:p>
          <w:p w14:paraId="783EE27D">
            <w:pPr>
              <w:spacing w:line="560" w:lineRule="exact"/>
              <w:jc w:val="center"/>
              <w:rPr>
                <w:rFonts w:eastAsia="仿宋_GB2312" w:cs="仿宋_GB2312"/>
                <w:color w:val="000000"/>
                <w:sz w:val="28"/>
                <w:szCs w:val="28"/>
              </w:rPr>
            </w:pPr>
            <w:r>
              <w:rPr>
                <w:rFonts w:hint="eastAsia" w:eastAsia="仿宋_GB2312" w:cs="仿宋_GB2312"/>
                <w:color w:val="000000"/>
                <w:sz w:val="28"/>
                <w:szCs w:val="28"/>
              </w:rPr>
              <w:t>GB/T 38015—2019</w:t>
            </w:r>
          </w:p>
          <w:p w14:paraId="1F83C608">
            <w:pPr>
              <w:spacing w:line="560" w:lineRule="exact"/>
              <w:jc w:val="center"/>
              <w:rPr>
                <w:rFonts w:eastAsia="仿宋_GB2312" w:cs="仿宋_GB2312"/>
                <w:color w:val="000000"/>
                <w:sz w:val="28"/>
                <w:szCs w:val="28"/>
              </w:rPr>
            </w:pPr>
            <w:r>
              <w:rPr>
                <w:rFonts w:hint="eastAsia" w:eastAsia="仿宋_GB2312" w:cs="仿宋_GB2312"/>
                <w:color w:val="000000"/>
                <w:sz w:val="28"/>
                <w:szCs w:val="28"/>
              </w:rPr>
              <w:t>FZ/T 01101—2008</w:t>
            </w:r>
          </w:p>
          <w:p w14:paraId="1D50D4AF">
            <w:pPr>
              <w:spacing w:line="560" w:lineRule="exact"/>
              <w:jc w:val="center"/>
              <w:rPr>
                <w:rFonts w:eastAsia="仿宋_GB2312" w:cs="仿宋_GB2312"/>
                <w:color w:val="000000"/>
                <w:sz w:val="28"/>
                <w:szCs w:val="28"/>
              </w:rPr>
            </w:pPr>
            <w:r>
              <w:rPr>
                <w:rFonts w:hint="eastAsia" w:eastAsia="仿宋_GB2312" w:cs="仿宋_GB2312"/>
                <w:color w:val="000000"/>
                <w:sz w:val="28"/>
                <w:szCs w:val="28"/>
              </w:rPr>
              <w:t>FZ/T 01112—2012</w:t>
            </w:r>
          </w:p>
          <w:p w14:paraId="40FC04C2">
            <w:pPr>
              <w:spacing w:line="560" w:lineRule="exact"/>
              <w:jc w:val="center"/>
              <w:rPr>
                <w:rFonts w:eastAsia="仿宋_GB2312" w:cs="仿宋_GB2312"/>
                <w:color w:val="000000"/>
                <w:sz w:val="28"/>
                <w:szCs w:val="28"/>
              </w:rPr>
            </w:pPr>
            <w:r>
              <w:rPr>
                <w:rFonts w:hint="eastAsia" w:eastAsia="仿宋_GB2312" w:cs="仿宋_GB2312"/>
                <w:color w:val="000000"/>
                <w:sz w:val="28"/>
                <w:szCs w:val="28"/>
              </w:rPr>
              <w:t>FZ/T 01026—2017</w:t>
            </w:r>
          </w:p>
          <w:p w14:paraId="1F4F4F62">
            <w:pPr>
              <w:spacing w:line="560" w:lineRule="exact"/>
              <w:jc w:val="center"/>
              <w:rPr>
                <w:rFonts w:eastAsia="仿宋_GB2312" w:cs="仿宋_GB2312"/>
                <w:color w:val="000000"/>
                <w:sz w:val="28"/>
                <w:szCs w:val="28"/>
              </w:rPr>
            </w:pPr>
            <w:r>
              <w:rPr>
                <w:rFonts w:hint="eastAsia" w:eastAsia="仿宋_GB2312" w:cs="仿宋_GB2312"/>
                <w:color w:val="000000"/>
                <w:sz w:val="28"/>
                <w:szCs w:val="28"/>
              </w:rPr>
              <w:t>FZ/T 01095—2002</w:t>
            </w:r>
          </w:p>
          <w:p w14:paraId="40A53253">
            <w:pPr>
              <w:spacing w:line="560" w:lineRule="exact"/>
              <w:jc w:val="center"/>
              <w:rPr>
                <w:rFonts w:eastAsia="仿宋_GB2312" w:cs="仿宋_GB2312"/>
                <w:color w:val="000000"/>
                <w:sz w:val="28"/>
                <w:szCs w:val="28"/>
              </w:rPr>
            </w:pPr>
            <w:r>
              <w:rPr>
                <w:rFonts w:hint="eastAsia" w:eastAsia="仿宋_GB2312" w:cs="仿宋_GB2312"/>
                <w:color w:val="000000"/>
                <w:sz w:val="28"/>
                <w:szCs w:val="28"/>
              </w:rPr>
              <w:t>FZ/T 30003—2009</w:t>
            </w:r>
          </w:p>
          <w:p w14:paraId="1C887E2F">
            <w:pPr>
              <w:spacing w:line="560" w:lineRule="exact"/>
              <w:jc w:val="center"/>
              <w:rPr>
                <w:rFonts w:eastAsia="仿宋_GB2312"/>
              </w:rPr>
            </w:pPr>
            <w:r>
              <w:rPr>
                <w:rFonts w:hint="eastAsia" w:eastAsia="仿宋_GB2312" w:cs="仿宋_GB2312"/>
                <w:color w:val="000000"/>
                <w:sz w:val="28"/>
                <w:szCs w:val="28"/>
              </w:rPr>
              <w:t>FZ/T 30003—2024</w:t>
            </w:r>
          </w:p>
        </w:tc>
      </w:tr>
      <w:tr w14:paraId="6160D1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961" w:type="dxa"/>
            <w:tcBorders>
              <w:top w:val="single" w:color="auto" w:sz="4" w:space="0"/>
              <w:left w:val="single" w:color="auto" w:sz="4" w:space="0"/>
              <w:bottom w:val="single" w:color="auto" w:sz="4" w:space="0"/>
              <w:right w:val="single" w:color="auto" w:sz="4" w:space="0"/>
            </w:tcBorders>
            <w:vAlign w:val="center"/>
          </w:tcPr>
          <w:p w14:paraId="10846670">
            <w:pPr>
              <w:spacing w:line="560" w:lineRule="exact"/>
              <w:jc w:val="center"/>
              <w:rPr>
                <w:rFonts w:eastAsia="仿宋_GB2312" w:cs="仿宋_GB2312"/>
                <w:color w:val="000000"/>
                <w:sz w:val="28"/>
                <w:szCs w:val="28"/>
              </w:rPr>
            </w:pPr>
            <w:r>
              <w:rPr>
                <w:rFonts w:hint="eastAsia" w:eastAsia="仿宋_GB2312" w:cs="仿宋_GB2312"/>
                <w:color w:val="000000"/>
                <w:sz w:val="28"/>
                <w:szCs w:val="28"/>
              </w:rPr>
              <w:t>10</w:t>
            </w:r>
          </w:p>
        </w:tc>
        <w:tc>
          <w:tcPr>
            <w:tcW w:w="4126" w:type="dxa"/>
            <w:tcBorders>
              <w:top w:val="single" w:color="auto" w:sz="4" w:space="0"/>
              <w:left w:val="single" w:color="auto" w:sz="4" w:space="0"/>
              <w:bottom w:val="single" w:color="auto" w:sz="4" w:space="0"/>
              <w:right w:val="single" w:color="auto" w:sz="4" w:space="0"/>
            </w:tcBorders>
            <w:vAlign w:val="center"/>
          </w:tcPr>
          <w:p w14:paraId="425A8B23">
            <w:pPr>
              <w:spacing w:line="560" w:lineRule="exact"/>
              <w:jc w:val="center"/>
              <w:rPr>
                <w:rFonts w:eastAsia="仿宋_GB2312" w:cs="仿宋_GB2312"/>
                <w:color w:val="000000"/>
                <w:sz w:val="28"/>
                <w:szCs w:val="28"/>
              </w:rPr>
            </w:pPr>
            <w:r>
              <w:rPr>
                <w:rFonts w:hint="eastAsia" w:eastAsia="仿宋_GB2312" w:cs="仿宋_GB2312"/>
                <w:sz w:val="28"/>
                <w:szCs w:val="28"/>
              </w:rPr>
              <w:t>绒子含量</w:t>
            </w:r>
          </w:p>
        </w:tc>
        <w:tc>
          <w:tcPr>
            <w:tcW w:w="4087" w:type="dxa"/>
            <w:tcBorders>
              <w:top w:val="single" w:color="auto" w:sz="4" w:space="0"/>
              <w:left w:val="single" w:color="auto" w:sz="4" w:space="0"/>
              <w:bottom w:val="single" w:color="auto" w:sz="4" w:space="0"/>
              <w:right w:val="single" w:color="auto" w:sz="4" w:space="0"/>
            </w:tcBorders>
            <w:vAlign w:val="center"/>
          </w:tcPr>
          <w:p w14:paraId="26989D40">
            <w:pPr>
              <w:spacing w:line="560" w:lineRule="exact"/>
              <w:jc w:val="center"/>
              <w:rPr>
                <w:rFonts w:eastAsia="仿宋_GB2312" w:cs="仿宋_GB2312"/>
                <w:sz w:val="28"/>
                <w:szCs w:val="28"/>
              </w:rPr>
            </w:pPr>
            <w:r>
              <w:rPr>
                <w:rFonts w:hint="eastAsia" w:eastAsia="仿宋_GB2312" w:cs="仿宋_GB2312"/>
                <w:sz w:val="28"/>
                <w:szCs w:val="28"/>
              </w:rPr>
              <w:t>GB/T 14272—2021</w:t>
            </w:r>
          </w:p>
          <w:p w14:paraId="47D56A6E">
            <w:pPr>
              <w:spacing w:line="560" w:lineRule="exact"/>
              <w:jc w:val="center"/>
              <w:rPr>
                <w:rFonts w:eastAsia="仿宋_GB2312" w:cs="仿宋_GB2312"/>
                <w:color w:val="000000"/>
                <w:sz w:val="28"/>
                <w:szCs w:val="28"/>
              </w:rPr>
            </w:pPr>
            <w:r>
              <w:rPr>
                <w:rFonts w:hint="eastAsia" w:eastAsia="仿宋_GB2312" w:cs="仿宋_GB2312"/>
                <w:sz w:val="28"/>
                <w:szCs w:val="28"/>
              </w:rPr>
              <w:t>GB/T 10288—2016</w:t>
            </w:r>
          </w:p>
        </w:tc>
      </w:tr>
      <w:tr w14:paraId="68E0C4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961" w:type="dxa"/>
            <w:tcBorders>
              <w:top w:val="single" w:color="auto" w:sz="4" w:space="0"/>
              <w:left w:val="single" w:color="auto" w:sz="4" w:space="0"/>
              <w:bottom w:val="single" w:color="auto" w:sz="4" w:space="0"/>
              <w:right w:val="single" w:color="auto" w:sz="4" w:space="0"/>
            </w:tcBorders>
            <w:vAlign w:val="center"/>
          </w:tcPr>
          <w:p w14:paraId="5A40F0C8">
            <w:pPr>
              <w:spacing w:line="560" w:lineRule="exact"/>
              <w:jc w:val="center"/>
              <w:rPr>
                <w:rFonts w:eastAsia="仿宋_GB2312" w:cs="仿宋_GB2312"/>
                <w:color w:val="000000"/>
                <w:sz w:val="28"/>
                <w:szCs w:val="28"/>
              </w:rPr>
            </w:pPr>
            <w:r>
              <w:rPr>
                <w:rFonts w:hint="eastAsia" w:eastAsia="仿宋_GB2312" w:cs="仿宋_GB2312"/>
                <w:color w:val="000000"/>
                <w:sz w:val="28"/>
                <w:szCs w:val="28"/>
              </w:rPr>
              <w:t>11</w:t>
            </w:r>
          </w:p>
        </w:tc>
        <w:tc>
          <w:tcPr>
            <w:tcW w:w="4126" w:type="dxa"/>
            <w:tcBorders>
              <w:top w:val="single" w:color="auto" w:sz="4" w:space="0"/>
              <w:left w:val="single" w:color="auto" w:sz="4" w:space="0"/>
              <w:bottom w:val="single" w:color="auto" w:sz="4" w:space="0"/>
              <w:right w:val="single" w:color="auto" w:sz="4" w:space="0"/>
            </w:tcBorders>
            <w:vAlign w:val="center"/>
          </w:tcPr>
          <w:p w14:paraId="08621BAD">
            <w:pPr>
              <w:spacing w:line="560" w:lineRule="exact"/>
              <w:jc w:val="center"/>
              <w:rPr>
                <w:rFonts w:eastAsia="仿宋_GB2312" w:cs="仿宋_GB2312"/>
                <w:color w:val="000000"/>
                <w:sz w:val="28"/>
                <w:szCs w:val="28"/>
              </w:rPr>
            </w:pPr>
            <w:r>
              <w:rPr>
                <w:rFonts w:hint="eastAsia" w:eastAsia="仿宋_GB2312" w:cs="仿宋_GB2312"/>
                <w:sz w:val="28"/>
                <w:szCs w:val="28"/>
              </w:rPr>
              <w:t>绒丝+羽丝</w:t>
            </w:r>
          </w:p>
        </w:tc>
        <w:tc>
          <w:tcPr>
            <w:tcW w:w="4087" w:type="dxa"/>
            <w:tcBorders>
              <w:top w:val="single" w:color="auto" w:sz="4" w:space="0"/>
              <w:left w:val="single" w:color="auto" w:sz="4" w:space="0"/>
              <w:bottom w:val="single" w:color="auto" w:sz="4" w:space="0"/>
              <w:right w:val="single" w:color="auto" w:sz="4" w:space="0"/>
            </w:tcBorders>
            <w:vAlign w:val="center"/>
          </w:tcPr>
          <w:p w14:paraId="36CC685B">
            <w:pPr>
              <w:spacing w:line="560" w:lineRule="exact"/>
              <w:jc w:val="center"/>
              <w:rPr>
                <w:rFonts w:eastAsia="仿宋_GB2312" w:cs="仿宋_GB2312"/>
                <w:sz w:val="28"/>
                <w:szCs w:val="28"/>
              </w:rPr>
            </w:pPr>
            <w:r>
              <w:rPr>
                <w:rFonts w:hint="eastAsia" w:eastAsia="仿宋_GB2312" w:cs="仿宋_GB2312"/>
                <w:sz w:val="28"/>
                <w:szCs w:val="28"/>
              </w:rPr>
              <w:t>GB/T 10288—2016</w:t>
            </w:r>
          </w:p>
          <w:p w14:paraId="5ACC40DA">
            <w:pPr>
              <w:spacing w:line="560" w:lineRule="exact"/>
              <w:jc w:val="center"/>
              <w:rPr>
                <w:rFonts w:eastAsia="仿宋_GB2312" w:cs="仿宋_GB2312"/>
                <w:color w:val="000000"/>
                <w:sz w:val="28"/>
                <w:szCs w:val="28"/>
              </w:rPr>
            </w:pPr>
            <w:r>
              <w:rPr>
                <w:rFonts w:hint="eastAsia" w:eastAsia="仿宋_GB2312" w:cs="仿宋_GB2312"/>
                <w:sz w:val="28"/>
                <w:szCs w:val="28"/>
              </w:rPr>
              <w:t>GB/T 14272—2021</w:t>
            </w:r>
          </w:p>
        </w:tc>
      </w:tr>
      <w:tr w14:paraId="1EDE1A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961" w:type="dxa"/>
            <w:tcBorders>
              <w:top w:val="single" w:color="auto" w:sz="4" w:space="0"/>
              <w:left w:val="single" w:color="auto" w:sz="4" w:space="0"/>
              <w:bottom w:val="single" w:color="auto" w:sz="4" w:space="0"/>
              <w:right w:val="single" w:color="auto" w:sz="4" w:space="0"/>
            </w:tcBorders>
            <w:vAlign w:val="center"/>
          </w:tcPr>
          <w:p w14:paraId="11D41D5E">
            <w:pPr>
              <w:spacing w:line="560" w:lineRule="exact"/>
              <w:jc w:val="center"/>
              <w:rPr>
                <w:rFonts w:eastAsia="仿宋_GB2312" w:cs="仿宋_GB2312"/>
                <w:color w:val="000000"/>
                <w:sz w:val="28"/>
                <w:szCs w:val="28"/>
              </w:rPr>
            </w:pPr>
            <w:r>
              <w:rPr>
                <w:rFonts w:hint="eastAsia" w:eastAsia="仿宋_GB2312" w:cs="仿宋_GB2312"/>
                <w:color w:val="000000"/>
                <w:sz w:val="28"/>
                <w:szCs w:val="28"/>
              </w:rPr>
              <w:t>12</w:t>
            </w:r>
          </w:p>
        </w:tc>
        <w:tc>
          <w:tcPr>
            <w:tcW w:w="4126" w:type="dxa"/>
            <w:tcBorders>
              <w:top w:val="single" w:color="auto" w:sz="4" w:space="0"/>
              <w:left w:val="single" w:color="auto" w:sz="4" w:space="0"/>
              <w:bottom w:val="single" w:color="auto" w:sz="4" w:space="0"/>
              <w:right w:val="single" w:color="auto" w:sz="4" w:space="0"/>
            </w:tcBorders>
            <w:vAlign w:val="center"/>
          </w:tcPr>
          <w:p w14:paraId="11775925">
            <w:pPr>
              <w:spacing w:line="560" w:lineRule="exact"/>
              <w:jc w:val="center"/>
              <w:rPr>
                <w:rFonts w:eastAsia="仿宋_GB2312" w:cs="仿宋_GB2312"/>
                <w:color w:val="000000"/>
                <w:sz w:val="28"/>
                <w:szCs w:val="28"/>
              </w:rPr>
            </w:pPr>
            <w:r>
              <w:rPr>
                <w:rFonts w:hint="eastAsia" w:eastAsia="仿宋_GB2312" w:cs="仿宋_GB2312"/>
                <w:sz w:val="28"/>
                <w:szCs w:val="28"/>
              </w:rPr>
              <w:t>鹅毛绒含量</w:t>
            </w:r>
          </w:p>
        </w:tc>
        <w:tc>
          <w:tcPr>
            <w:tcW w:w="4087" w:type="dxa"/>
            <w:tcBorders>
              <w:top w:val="single" w:color="auto" w:sz="4" w:space="0"/>
              <w:left w:val="single" w:color="auto" w:sz="4" w:space="0"/>
              <w:bottom w:val="single" w:color="auto" w:sz="4" w:space="0"/>
              <w:right w:val="single" w:color="auto" w:sz="4" w:space="0"/>
            </w:tcBorders>
            <w:vAlign w:val="center"/>
          </w:tcPr>
          <w:p w14:paraId="2AA3AA8C">
            <w:pPr>
              <w:spacing w:line="560" w:lineRule="exact"/>
              <w:jc w:val="center"/>
              <w:rPr>
                <w:rFonts w:eastAsia="仿宋_GB2312" w:cs="仿宋_GB2312"/>
                <w:sz w:val="28"/>
                <w:szCs w:val="28"/>
              </w:rPr>
            </w:pPr>
            <w:r>
              <w:rPr>
                <w:rFonts w:hint="eastAsia" w:eastAsia="仿宋_GB2312" w:cs="仿宋_GB2312"/>
                <w:sz w:val="28"/>
                <w:szCs w:val="28"/>
              </w:rPr>
              <w:t>GB/T 10288—2016</w:t>
            </w:r>
          </w:p>
          <w:p w14:paraId="63D288FC">
            <w:pPr>
              <w:spacing w:line="560" w:lineRule="exact"/>
              <w:jc w:val="center"/>
              <w:rPr>
                <w:rFonts w:eastAsia="仿宋_GB2312" w:cs="仿宋_GB2312"/>
                <w:color w:val="000000"/>
                <w:sz w:val="28"/>
                <w:szCs w:val="28"/>
              </w:rPr>
            </w:pPr>
            <w:r>
              <w:rPr>
                <w:rFonts w:hint="eastAsia" w:eastAsia="仿宋_GB2312" w:cs="仿宋_GB2312"/>
                <w:sz w:val="28"/>
                <w:szCs w:val="28"/>
              </w:rPr>
              <w:t>GB/T 14272—2021</w:t>
            </w:r>
          </w:p>
        </w:tc>
      </w:tr>
      <w:tr w14:paraId="78FED3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961" w:type="dxa"/>
            <w:tcBorders>
              <w:top w:val="single" w:color="auto" w:sz="4" w:space="0"/>
              <w:left w:val="single" w:color="auto" w:sz="4" w:space="0"/>
              <w:bottom w:val="single" w:color="auto" w:sz="4" w:space="0"/>
              <w:right w:val="single" w:color="auto" w:sz="4" w:space="0"/>
            </w:tcBorders>
            <w:vAlign w:val="center"/>
          </w:tcPr>
          <w:p w14:paraId="49A6546D">
            <w:pPr>
              <w:spacing w:line="560" w:lineRule="exact"/>
              <w:jc w:val="center"/>
              <w:rPr>
                <w:rFonts w:eastAsia="仿宋_GB2312" w:cs="仿宋_GB2312"/>
                <w:color w:val="000000"/>
                <w:sz w:val="28"/>
                <w:szCs w:val="28"/>
              </w:rPr>
            </w:pPr>
            <w:r>
              <w:rPr>
                <w:rFonts w:hint="eastAsia" w:eastAsia="仿宋_GB2312" w:cs="仿宋_GB2312"/>
                <w:color w:val="000000"/>
                <w:sz w:val="28"/>
                <w:szCs w:val="28"/>
              </w:rPr>
              <w:t>13</w:t>
            </w:r>
          </w:p>
        </w:tc>
        <w:tc>
          <w:tcPr>
            <w:tcW w:w="4126" w:type="dxa"/>
            <w:tcBorders>
              <w:top w:val="single" w:color="auto" w:sz="4" w:space="0"/>
              <w:left w:val="single" w:color="auto" w:sz="4" w:space="0"/>
              <w:bottom w:val="single" w:color="auto" w:sz="4" w:space="0"/>
              <w:right w:val="single" w:color="auto" w:sz="4" w:space="0"/>
            </w:tcBorders>
            <w:vAlign w:val="center"/>
          </w:tcPr>
          <w:p w14:paraId="0D01AFFE">
            <w:pPr>
              <w:spacing w:line="560" w:lineRule="exact"/>
              <w:jc w:val="center"/>
              <w:rPr>
                <w:rFonts w:eastAsia="仿宋_GB2312" w:cs="仿宋_GB2312"/>
                <w:sz w:val="28"/>
                <w:szCs w:val="28"/>
              </w:rPr>
            </w:pPr>
            <w:r>
              <w:rPr>
                <w:rFonts w:hint="eastAsia" w:eastAsia="仿宋_GB2312" w:cs="仿宋_GB2312"/>
                <w:sz w:val="28"/>
                <w:szCs w:val="28"/>
              </w:rPr>
              <w:t>生活用絮用纤维制品技术要求</w:t>
            </w:r>
            <w:r>
              <w:rPr>
                <w:rFonts w:hint="eastAsia" w:eastAsia="仿宋_GB2312" w:cs="仿宋_GB2312"/>
                <w:sz w:val="28"/>
                <w:szCs w:val="28"/>
                <w:vertAlign w:val="superscript"/>
              </w:rPr>
              <w:t>a</w:t>
            </w:r>
          </w:p>
        </w:tc>
        <w:tc>
          <w:tcPr>
            <w:tcW w:w="4087" w:type="dxa"/>
            <w:tcBorders>
              <w:top w:val="single" w:color="auto" w:sz="4" w:space="0"/>
              <w:left w:val="single" w:color="auto" w:sz="4" w:space="0"/>
              <w:bottom w:val="single" w:color="auto" w:sz="4" w:space="0"/>
              <w:right w:val="single" w:color="auto" w:sz="4" w:space="0"/>
            </w:tcBorders>
            <w:vAlign w:val="center"/>
          </w:tcPr>
          <w:p w14:paraId="14C96750">
            <w:pPr>
              <w:spacing w:line="560" w:lineRule="exact"/>
              <w:jc w:val="center"/>
              <w:rPr>
                <w:rFonts w:eastAsia="仿宋_GB2312" w:cs="仿宋_GB2312"/>
                <w:sz w:val="28"/>
                <w:szCs w:val="28"/>
              </w:rPr>
            </w:pPr>
            <w:r>
              <w:rPr>
                <w:rFonts w:hint="eastAsia" w:eastAsia="仿宋_GB2312" w:cs="仿宋_GB2312"/>
                <w:sz w:val="28"/>
                <w:szCs w:val="28"/>
              </w:rPr>
              <w:t>GB 18383—2025</w:t>
            </w:r>
          </w:p>
          <w:p w14:paraId="0D8D18D8">
            <w:pPr>
              <w:spacing w:line="560" w:lineRule="exact"/>
              <w:jc w:val="center"/>
              <w:rPr>
                <w:rFonts w:eastAsia="仿宋_GB2312" w:cs="仿宋_GB2312"/>
                <w:sz w:val="28"/>
                <w:szCs w:val="28"/>
              </w:rPr>
            </w:pPr>
            <w:r>
              <w:rPr>
                <w:rFonts w:hint="eastAsia" w:eastAsia="仿宋_GB2312" w:cs="仿宋_GB2312"/>
                <w:sz w:val="28"/>
                <w:szCs w:val="28"/>
              </w:rPr>
              <w:t>GB/T 43811—2024</w:t>
            </w:r>
          </w:p>
        </w:tc>
      </w:tr>
      <w:tr w14:paraId="475AE2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9174" w:type="dxa"/>
            <w:gridSpan w:val="3"/>
            <w:tcBorders>
              <w:top w:val="single" w:color="auto" w:sz="4" w:space="0"/>
              <w:left w:val="single" w:color="auto" w:sz="4" w:space="0"/>
              <w:bottom w:val="single" w:color="auto" w:sz="4" w:space="0"/>
              <w:right w:val="single" w:color="auto" w:sz="4" w:space="0"/>
            </w:tcBorders>
          </w:tcPr>
          <w:p w14:paraId="63032A29">
            <w:pPr>
              <w:spacing w:line="320" w:lineRule="exact"/>
              <w:jc w:val="left"/>
              <w:rPr>
                <w:sz w:val="24"/>
              </w:rPr>
            </w:pPr>
            <w:r>
              <w:rPr>
                <w:rFonts w:hint="eastAsia"/>
                <w:sz w:val="24"/>
              </w:rPr>
              <w:t>备注：</w:t>
            </w:r>
          </w:p>
          <w:p w14:paraId="0B754E13">
            <w:pPr>
              <w:pStyle w:val="2"/>
              <w:ind w:left="0" w:leftChars="0"/>
              <w:rPr>
                <w:sz w:val="24"/>
              </w:rPr>
            </w:pPr>
            <w:r>
              <w:rPr>
                <w:rFonts w:hint="eastAsia"/>
                <w:sz w:val="24"/>
              </w:rPr>
              <w:t>1.</w:t>
            </w:r>
            <w:r>
              <w:rPr>
                <w:rFonts w:hint="eastAsia"/>
                <w:sz w:val="24"/>
                <w:vertAlign w:val="superscript"/>
              </w:rPr>
              <w:t>a</w:t>
            </w:r>
            <w:r>
              <w:rPr>
                <w:rFonts w:hint="eastAsia"/>
                <w:sz w:val="24"/>
              </w:rPr>
              <w:t>考核GB 18383—2025 4.3.1、4.3.2、4.3.3。</w:t>
            </w:r>
          </w:p>
          <w:p w14:paraId="2E40E6F3">
            <w:pPr>
              <w:spacing w:line="320" w:lineRule="exact"/>
              <w:jc w:val="left"/>
              <w:rPr>
                <w:sz w:val="24"/>
              </w:rPr>
            </w:pPr>
            <w:r>
              <w:rPr>
                <w:rFonts w:hint="eastAsia"/>
                <w:sz w:val="24"/>
              </w:rPr>
              <w:t>2.产品使用说明标注的纤维含量不一致时，应以耐久标签标注的纤维含量进行考核。如果未标注产品主要原材料的纤维成分和含量，则纤维含量项目不判定。对于加工产品纤维含量项目不做判定。</w:t>
            </w:r>
          </w:p>
          <w:p w14:paraId="0AE8CD06">
            <w:pPr>
              <w:spacing w:line="320" w:lineRule="exact"/>
              <w:jc w:val="left"/>
              <w:rPr>
                <w:sz w:val="24"/>
              </w:rPr>
            </w:pPr>
            <w:r>
              <w:rPr>
                <w:rFonts w:hint="eastAsia"/>
                <w:sz w:val="24"/>
              </w:rPr>
              <w:t>3.考虑到样品存在的不均匀性和检验的可靠性，样品中检测出微量其他纤维（未明示）时，如果其他纤维（未明示）的含量≤0.5%，或样品明示含微量其他纤维而未检出时，该微量其他纤维不计入总量进行判定。</w:t>
            </w:r>
          </w:p>
          <w:p w14:paraId="200E235E">
            <w:pPr>
              <w:spacing w:line="320" w:lineRule="exact"/>
              <w:jc w:val="left"/>
              <w:rPr>
                <w:sz w:val="24"/>
              </w:rPr>
            </w:pPr>
            <w:r>
              <w:rPr>
                <w:rFonts w:hint="eastAsia"/>
                <w:sz w:val="24"/>
              </w:rPr>
              <w:t>4.色牢度试验采用单纤维贴衬，产品标准另有规定的，按产品标准执行。</w:t>
            </w:r>
          </w:p>
          <w:p w14:paraId="596F8BDD">
            <w:pPr>
              <w:spacing w:line="320" w:lineRule="exact"/>
              <w:jc w:val="left"/>
              <w:rPr>
                <w:sz w:val="24"/>
              </w:rPr>
            </w:pPr>
            <w:r>
              <w:rPr>
                <w:rFonts w:hint="eastAsia"/>
                <w:sz w:val="24"/>
              </w:rPr>
              <w:t>5.针织产品耐摩擦色牢度只考核直向。</w:t>
            </w:r>
          </w:p>
          <w:p w14:paraId="27557866">
            <w:pPr>
              <w:spacing w:line="320" w:lineRule="exact"/>
              <w:jc w:val="left"/>
              <w:rPr>
                <w:sz w:val="24"/>
              </w:rPr>
            </w:pPr>
            <w:r>
              <w:rPr>
                <w:rFonts w:hint="eastAsia"/>
                <w:sz w:val="24"/>
              </w:rPr>
              <w:t>6.产品未标注产品标准，标注产品标准不正确，或者无法获得明示的有效企业标准时，检测纤维含量以及强制性标准相关项目。</w:t>
            </w:r>
          </w:p>
          <w:p w14:paraId="14F8B61A">
            <w:pPr>
              <w:spacing w:line="320" w:lineRule="exact"/>
              <w:jc w:val="left"/>
              <w:rPr>
                <w:sz w:val="24"/>
              </w:rPr>
            </w:pPr>
            <w:r>
              <w:rPr>
                <w:rFonts w:hint="eastAsia"/>
                <w:sz w:val="24"/>
              </w:rPr>
              <w:t>7.pH值的测定用0.1 mol/L 氯化钾溶液作为萃取介质。</w:t>
            </w:r>
          </w:p>
          <w:p w14:paraId="246EBD24">
            <w:pPr>
              <w:spacing w:line="320" w:lineRule="exact"/>
              <w:jc w:val="left"/>
              <w:rPr>
                <w:rFonts w:eastAsia="仿宋_GB2312" w:cs="仿宋_GB2312"/>
                <w:color w:val="000000"/>
                <w:sz w:val="28"/>
                <w:szCs w:val="28"/>
              </w:rPr>
            </w:pPr>
            <w:r>
              <w:rPr>
                <w:rFonts w:hint="eastAsia"/>
                <w:sz w:val="24"/>
              </w:rPr>
              <w:t>8.只检测产品相应标准中有考核要求的项目。</w:t>
            </w:r>
          </w:p>
        </w:tc>
      </w:tr>
    </w:tbl>
    <w:p w14:paraId="6D598D52">
      <w:pPr>
        <w:snapToGrid w:val="0"/>
        <w:spacing w:line="560" w:lineRule="exact"/>
        <w:ind w:firstLine="547" w:firstLineChars="171"/>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执行企业标准、团体标准、地方标准的产品，检验项目参照上述内容执行。</w:t>
      </w:r>
    </w:p>
    <w:p w14:paraId="0F593222">
      <w:pPr>
        <w:snapToGrid w:val="0"/>
        <w:spacing w:line="560" w:lineRule="exact"/>
        <w:ind w:firstLine="547" w:firstLineChars="171"/>
        <w:rPr>
          <w:rFonts w:hint="eastAsia" w:ascii="仿宋_GB2312" w:hAnsi="仿宋_GB2312" w:eastAsia="仿宋_GB2312" w:cs="仿宋_GB2312"/>
          <w:sz w:val="32"/>
          <w:szCs w:val="32"/>
        </w:rPr>
      </w:pPr>
      <w:bookmarkStart w:id="0" w:name="_GoBack"/>
      <w:bookmarkEnd w:id="0"/>
      <w:r>
        <w:rPr>
          <w:rFonts w:eastAsia="仿宋_GB2312"/>
          <w:sz w:val="32"/>
          <w:szCs w:val="32"/>
        </w:rPr>
        <w:t>跟踪抽查的检验项目以不合格项目为主；跟踪抽查的检验项目如少于上述检验项目，须经组织监督抽查（或印发监督抽查方案）的市场监管部门同意；跟踪抽查的检验项目须同时符合如下要求：1.检验项目原则上与上述常规抽查的检验项目一致；2.检验项目的数量必须与抽样量相匹配（与检验项目有关的样品量不可控、不可预测的除外）；3.不合格项目以外的其他检验项目必须优先选择‘（1）涉及人体健康（人身财产安全）、（2）存在前后检验关系、（3）被跟踪抽查产品检出值更接近标准值’的项目（（1）优先于（2），（2）优先于（3））；4.具体检验项目须写入“抽样单”备注处；5.检验人员可以根据实际检验情况调减不合格项目以外的其他检验项目（原则上按上述（3）、（2）、（1）的顺序调减（部分拟调减的项目已检验的除外），须经组织监督抽查（或印发监督抽查方案）的市场监管部门同意）。</w:t>
      </w:r>
    </w:p>
    <w:p w14:paraId="71812F09">
      <w:pPr>
        <w:snapToGrid w:val="0"/>
        <w:spacing w:line="560" w:lineRule="exact"/>
        <w:ind w:firstLine="547" w:firstLineChars="171"/>
        <w:rPr>
          <w:rFonts w:hint="eastAsia" w:ascii="仿宋_GB2312" w:hAnsi="仿宋_GB2312" w:eastAsia="仿宋_GB2312" w:cs="仿宋_GB2312"/>
          <w:sz w:val="32"/>
          <w:szCs w:val="32"/>
        </w:rPr>
      </w:pPr>
      <w:r>
        <w:rPr>
          <w:rFonts w:eastAsia="仿宋_GB2312"/>
          <w:sz w:val="32"/>
          <w:szCs w:val="32"/>
        </w:rPr>
        <w:t>凡是注日期的文件，其随后所有的修改单（不包括勘误的内容）或修订版不适用于本细则。凡是不注日期的文件，其最新版本适用于本细则。</w:t>
      </w:r>
    </w:p>
    <w:p w14:paraId="03F66D00">
      <w:pPr>
        <w:spacing w:line="560" w:lineRule="exact"/>
        <w:ind w:firstLine="640" w:firstLineChars="200"/>
        <w:rPr>
          <w:rFonts w:hint="eastAsia" w:ascii="黑体" w:hAnsi="黑体" w:eastAsia="黑体" w:cs="黑体"/>
          <w:sz w:val="32"/>
          <w:szCs w:val="32"/>
        </w:rPr>
      </w:pPr>
      <w:r>
        <w:rPr>
          <w:rFonts w:hint="eastAsia" w:ascii="黑体" w:hAnsi="黑体" w:eastAsia="黑体" w:cs="黑体"/>
          <w:sz w:val="32"/>
          <w:szCs w:val="32"/>
        </w:rPr>
        <w:t>3 判定规则</w:t>
      </w:r>
    </w:p>
    <w:p w14:paraId="1FC04EE0">
      <w:pPr>
        <w:snapToGrid w:val="0"/>
        <w:spacing w:line="560" w:lineRule="exact"/>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3.1依据标准</w:t>
      </w:r>
    </w:p>
    <w:p w14:paraId="2F9EB1DB">
      <w:pPr>
        <w:spacing w:line="560" w:lineRule="exact"/>
        <w:ind w:firstLine="640" w:firstLineChars="200"/>
        <w:rPr>
          <w:rFonts w:eastAsia="仿宋_GB2312" w:cs="仿宋_GB2312"/>
          <w:sz w:val="32"/>
          <w:szCs w:val="40"/>
        </w:rPr>
      </w:pPr>
      <w:r>
        <w:rPr>
          <w:rFonts w:hint="eastAsia" w:eastAsia="仿宋_GB2312" w:cs="仿宋_GB2312"/>
          <w:sz w:val="32"/>
          <w:szCs w:val="40"/>
        </w:rPr>
        <w:t>GB 18401—2010 国家纺织产品基本安全技术规范</w:t>
      </w:r>
    </w:p>
    <w:p w14:paraId="7619E729">
      <w:pPr>
        <w:spacing w:line="560" w:lineRule="exact"/>
        <w:ind w:firstLine="640" w:firstLineChars="200"/>
        <w:rPr>
          <w:rFonts w:eastAsia="仿宋_GB2312" w:cs="仿宋_GB2312"/>
          <w:sz w:val="32"/>
          <w:szCs w:val="40"/>
        </w:rPr>
      </w:pPr>
      <w:r>
        <w:rPr>
          <w:rFonts w:hint="eastAsia" w:eastAsia="仿宋_GB2312" w:cs="仿宋_GB2312"/>
          <w:sz w:val="32"/>
          <w:szCs w:val="40"/>
        </w:rPr>
        <w:t>GB 31701—2015婴幼儿及儿童纺织产品安全技术规范</w:t>
      </w:r>
    </w:p>
    <w:p w14:paraId="5AC61078">
      <w:pPr>
        <w:spacing w:line="560" w:lineRule="exact"/>
        <w:ind w:firstLine="640" w:firstLineChars="200"/>
        <w:rPr>
          <w:rFonts w:eastAsia="仿宋_GB2312" w:cs="仿宋_GB2312"/>
          <w:sz w:val="32"/>
          <w:szCs w:val="40"/>
        </w:rPr>
      </w:pPr>
      <w:r>
        <w:rPr>
          <w:rFonts w:hint="eastAsia" w:eastAsia="仿宋_GB2312" w:cs="仿宋_GB2312"/>
          <w:sz w:val="32"/>
          <w:szCs w:val="40"/>
        </w:rPr>
        <w:t>GB/T 29862—2013 纺织品 纤维含量的标识</w:t>
      </w:r>
    </w:p>
    <w:p w14:paraId="7B72C01B">
      <w:pPr>
        <w:spacing w:line="560" w:lineRule="exact"/>
        <w:ind w:firstLine="640" w:firstLineChars="200"/>
        <w:rPr>
          <w:rFonts w:eastAsia="仿宋_GB2312" w:cs="仿宋_GB2312"/>
          <w:sz w:val="32"/>
          <w:szCs w:val="40"/>
        </w:rPr>
      </w:pPr>
      <w:r>
        <w:rPr>
          <w:rFonts w:hint="eastAsia" w:eastAsia="仿宋_GB2312" w:cs="仿宋_GB2312"/>
          <w:sz w:val="32"/>
          <w:szCs w:val="40"/>
        </w:rPr>
        <w:t>GB/T 14272—2021 羽绒服装</w:t>
      </w:r>
    </w:p>
    <w:p w14:paraId="7C40B6F4">
      <w:pPr>
        <w:spacing w:line="560" w:lineRule="exact"/>
        <w:ind w:firstLine="640" w:firstLineChars="200"/>
        <w:rPr>
          <w:rFonts w:eastAsia="仿宋_GB2312" w:cs="仿宋_GB2312"/>
          <w:sz w:val="32"/>
          <w:szCs w:val="40"/>
        </w:rPr>
      </w:pPr>
      <w:r>
        <w:rPr>
          <w:rFonts w:hint="eastAsia" w:eastAsia="仿宋_GB2312" w:cs="仿宋_GB2312"/>
          <w:sz w:val="32"/>
          <w:szCs w:val="40"/>
        </w:rPr>
        <w:t>FZ/T 73053—2015 针织羽绒服装</w:t>
      </w:r>
    </w:p>
    <w:p w14:paraId="59B7A540">
      <w:pPr>
        <w:snapToGrid w:val="0"/>
        <w:spacing w:line="560" w:lineRule="exact"/>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现行有效的企业标准、团体标准、地方标准及产品明示质量要求</w:t>
      </w:r>
    </w:p>
    <w:p w14:paraId="754B76C4">
      <w:pPr>
        <w:snapToGrid w:val="0"/>
        <w:spacing w:line="560" w:lineRule="exact"/>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3.2判定原则</w:t>
      </w:r>
    </w:p>
    <w:p w14:paraId="6B183A55">
      <w:pPr>
        <w:snapToGrid w:val="0"/>
        <w:spacing w:line="560" w:lineRule="exact"/>
        <w:ind w:firstLine="636" w:firstLineChars="199"/>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经检验，检验项目全部合格，判定为被抽查产品所检项目未发现不合格；检验项目中任一项或一项以上不合格，判定为被抽查产品不合格。</w:t>
      </w:r>
    </w:p>
    <w:p w14:paraId="1B82B5E8">
      <w:pPr>
        <w:snapToGrid w:val="0"/>
        <w:spacing w:line="560" w:lineRule="exact"/>
        <w:ind w:firstLine="636" w:firstLineChars="199"/>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若被检产品明示的质量要求高于本细则中检验项目依据的标准要求时，应按被检产品明示的质量要求判定。</w:t>
      </w:r>
    </w:p>
    <w:p w14:paraId="008955D5">
      <w:pPr>
        <w:snapToGrid w:val="0"/>
        <w:spacing w:line="560" w:lineRule="exact"/>
        <w:ind w:firstLine="636" w:firstLineChars="199"/>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若被检产品明示的质量要求低于本细则中检验项目依据的强制性标准要求时，应按照强制性标准要求判定。</w:t>
      </w:r>
    </w:p>
    <w:p w14:paraId="2FAE89F9">
      <w:pPr>
        <w:snapToGrid w:val="0"/>
        <w:spacing w:line="560" w:lineRule="exact"/>
        <w:ind w:firstLine="636" w:firstLineChars="199"/>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若被检产品明示的质量要求低于或包含本细则中检验项目依据的推荐性标准要求时，应以被检产品明示的质量要求判定。</w:t>
      </w:r>
    </w:p>
    <w:p w14:paraId="55EFD4C6">
      <w:pPr>
        <w:snapToGrid w:val="0"/>
        <w:spacing w:line="560" w:lineRule="exact"/>
        <w:ind w:firstLine="636" w:firstLineChars="199"/>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若被检产品明示的质量要求缺少本细则中检验项目依据的强制性标准要求时，应按照强制性标准要求判定。</w:t>
      </w:r>
    </w:p>
    <w:p w14:paraId="5087465B">
      <w:pPr>
        <w:snapToGrid w:val="0"/>
        <w:spacing w:line="560" w:lineRule="exact"/>
        <w:ind w:firstLine="636" w:firstLineChars="199"/>
      </w:pPr>
      <w:r>
        <w:rPr>
          <w:rFonts w:hint="eastAsia" w:ascii="仿宋_GB2312" w:hAnsi="仿宋_GB2312" w:eastAsia="仿宋_GB2312" w:cs="仿宋_GB2312"/>
          <w:sz w:val="32"/>
          <w:szCs w:val="32"/>
        </w:rPr>
        <w:t>若被检产品明示的质量要求缺少本细则中检验项目依据的推荐性标准要求时，该项目不参与判定。</w:t>
      </w:r>
    </w:p>
    <w:sectPr>
      <w:headerReference r:id="rId3" w:type="default"/>
      <w:footerReference r:id="rId4" w:type="default"/>
      <w:pgSz w:w="11907" w:h="16840"/>
      <w:pgMar w:top="1701" w:right="1418" w:bottom="1701" w:left="1418" w:header="567" w:footer="567" w:gutter="0"/>
      <w:cols w:space="720"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embedRegular r:id="rId1" w:fontKey="{34C2DAC9-D478-4208-8960-C6F55893AF84}"/>
  </w:font>
  <w:font w:name="Arial">
    <w:panose1 w:val="020B0604020202020204"/>
    <w:charset w:val="01"/>
    <w:family w:val="swiss"/>
    <w:pitch w:val="default"/>
    <w:sig w:usb0="E0002EFF" w:usb1="C000785B" w:usb2="00000009" w:usb3="00000000" w:csb0="400001FF" w:csb1="FFFF0000"/>
    <w:embedRegular r:id="rId2" w:fontKey="{489B8BB2-37E7-4E9B-B386-BF789D27C5D9}"/>
  </w:font>
  <w:font w:name="黑体">
    <w:panose1 w:val="02010609060101010101"/>
    <w:charset w:val="86"/>
    <w:family w:val="auto"/>
    <w:pitch w:val="default"/>
    <w:sig w:usb0="800002BF" w:usb1="38CF7CFA" w:usb2="00000016" w:usb3="00000000" w:csb0="00040001" w:csb1="00000000"/>
    <w:embedRegular r:id="rId3" w:fontKey="{26BA668E-DA74-423B-A403-13F2D62E64FE}"/>
  </w:font>
  <w:font w:name="Courier New">
    <w:panose1 w:val="02070309020205020404"/>
    <w:charset w:val="01"/>
    <w:family w:val="modern"/>
    <w:pitch w:val="default"/>
    <w:sig w:usb0="E0002EFF" w:usb1="C0007843" w:usb2="00000009" w:usb3="00000000" w:csb0="400001FF" w:csb1="FFFF0000"/>
    <w:embedRegular r:id="rId4" w:fontKey="{159DEF22-BD2C-4B6C-A039-78AEC17F062E}"/>
  </w:font>
  <w:font w:name="Symbol">
    <w:panose1 w:val="05050102010706020507"/>
    <w:charset w:val="02"/>
    <w:family w:val="roman"/>
    <w:pitch w:val="default"/>
    <w:sig w:usb0="00000000" w:usb1="00000000" w:usb2="00000000" w:usb3="00000000" w:csb0="80000000" w:csb1="00000000"/>
    <w:embedRegular r:id="rId5" w:fontKey="{DE7998FA-7D02-4D7E-B175-877FC1147E51}"/>
  </w:font>
  <w:font w:name="Calibri">
    <w:panose1 w:val="020F0502020204030204"/>
    <w:charset w:val="00"/>
    <w:family w:val="swiss"/>
    <w:pitch w:val="default"/>
    <w:sig w:usb0="E4002EFF" w:usb1="C200247B" w:usb2="00000009" w:usb3="00000000" w:csb0="200001FF" w:csb1="00000000"/>
    <w:embedRegular r:id="rId6" w:fontKey="{E93A8CB6-8B5A-4A60-91E0-CBA96BC6B322}"/>
  </w:font>
  <w:font w:name="仿宋_GB2312">
    <w:panose1 w:val="02010609030101010101"/>
    <w:charset w:val="86"/>
    <w:family w:val="modern"/>
    <w:pitch w:val="default"/>
    <w:sig w:usb0="00000001" w:usb1="080E0000" w:usb2="00000000" w:usb3="00000000" w:csb0="00040000" w:csb1="00000000"/>
    <w:embedRegular r:id="rId7" w:fontKey="{3BB22D9E-23F3-44EA-A9D5-2D2C2ED7D765}"/>
  </w:font>
  <w:font w:name="方正小标宋简体">
    <w:panose1 w:val="02010601030101010101"/>
    <w:charset w:val="86"/>
    <w:family w:val="auto"/>
    <w:pitch w:val="default"/>
    <w:sig w:usb0="00000001" w:usb1="080E0000" w:usb2="00000000" w:usb3="00000000" w:csb0="00040000" w:csb1="00000000"/>
  </w:font>
  <w:font w:name="楷体_GB2312">
    <w:panose1 w:val="02010609030101010101"/>
    <w:charset w:val="86"/>
    <w:family w:val="modern"/>
    <w:pitch w:val="default"/>
    <w:sig w:usb0="00000001" w:usb1="080E0000" w:usb2="00000000" w:usb3="00000000" w:csb0="00040000" w:csb1="00000000"/>
    <w:embedRegular r:id="rId8" w:fontKey="{81DF5BBE-4373-413E-B187-0C6A7D0EA3C5}"/>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0E2618E">
    <w:pPr>
      <w:snapToGrid w:val="0"/>
      <w:spacing w:before="120" w:beforeLines="50"/>
      <w:rPr>
        <w:rFonts w:hint="eastAsia" w:ascii="宋体" w:hAnsi="宋体"/>
        <w:sz w:val="18"/>
        <w:szCs w:val="18"/>
      </w:rP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49B8372">
    <w:pPr>
      <w:pStyle w:val="9"/>
      <w:pBdr>
        <w:bottom w:val="none" w:color="auto" w:sz="0" w:space="0"/>
      </w:pBdr>
      <w:rPr>
        <w:b/>
        <w:sz w:val="28"/>
        <w:szCs w:val="28"/>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67"/>
  <w:doNotDisplayPageBoundaries w:val="1"/>
  <w:embedTrueType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420"/>
  <w:drawingGridHorizontalSpacing w:val="105"/>
  <w:drawingGridVerticalSpacing w:val="156"/>
  <w:noPunctuationKerning w:val="1"/>
  <w:characterSpacingControl w:val="compressPunctuation"/>
  <w:doNotValidateAgainstSchema/>
  <w:doNotDemarcateInvalidXml/>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Dk3M2U0ZDQ4YzMyZDhlMTI3OWMwYjE2N2QwMmUxMGEifQ=="/>
  </w:docVars>
  <w:rsids>
    <w:rsidRoot w:val="00172A27"/>
    <w:rsid w:val="000020BE"/>
    <w:rsid w:val="00002EA4"/>
    <w:rsid w:val="00026AB7"/>
    <w:rsid w:val="000321D9"/>
    <w:rsid w:val="00033C44"/>
    <w:rsid w:val="000351A4"/>
    <w:rsid w:val="00051A44"/>
    <w:rsid w:val="00054CA3"/>
    <w:rsid w:val="000565BF"/>
    <w:rsid w:val="00062195"/>
    <w:rsid w:val="0006305F"/>
    <w:rsid w:val="0006480C"/>
    <w:rsid w:val="00080B0F"/>
    <w:rsid w:val="00081CBD"/>
    <w:rsid w:val="00091170"/>
    <w:rsid w:val="00094FDF"/>
    <w:rsid w:val="000976DE"/>
    <w:rsid w:val="000B20DE"/>
    <w:rsid w:val="000C23F9"/>
    <w:rsid w:val="000C638E"/>
    <w:rsid w:val="000C6F9E"/>
    <w:rsid w:val="000F086E"/>
    <w:rsid w:val="000F50E2"/>
    <w:rsid w:val="00100E39"/>
    <w:rsid w:val="00121AE9"/>
    <w:rsid w:val="00137B98"/>
    <w:rsid w:val="00145FAF"/>
    <w:rsid w:val="00172A27"/>
    <w:rsid w:val="00173AB6"/>
    <w:rsid w:val="001809DD"/>
    <w:rsid w:val="00182D02"/>
    <w:rsid w:val="001833D2"/>
    <w:rsid w:val="001843EC"/>
    <w:rsid w:val="001B39AB"/>
    <w:rsid w:val="001D0A41"/>
    <w:rsid w:val="00200008"/>
    <w:rsid w:val="00201BD3"/>
    <w:rsid w:val="002044CB"/>
    <w:rsid w:val="00213B1C"/>
    <w:rsid w:val="00232530"/>
    <w:rsid w:val="00244B61"/>
    <w:rsid w:val="00253624"/>
    <w:rsid w:val="00255A9C"/>
    <w:rsid w:val="0026017A"/>
    <w:rsid w:val="00276DAA"/>
    <w:rsid w:val="002A4261"/>
    <w:rsid w:val="002A5C25"/>
    <w:rsid w:val="002A7875"/>
    <w:rsid w:val="002D5352"/>
    <w:rsid w:val="002D728A"/>
    <w:rsid w:val="002D7F8A"/>
    <w:rsid w:val="002E0D1D"/>
    <w:rsid w:val="003203A3"/>
    <w:rsid w:val="00331031"/>
    <w:rsid w:val="00342408"/>
    <w:rsid w:val="00352195"/>
    <w:rsid w:val="003562B2"/>
    <w:rsid w:val="00356736"/>
    <w:rsid w:val="00364A7D"/>
    <w:rsid w:val="00365CBE"/>
    <w:rsid w:val="003778E3"/>
    <w:rsid w:val="003932F4"/>
    <w:rsid w:val="00393F38"/>
    <w:rsid w:val="003A7133"/>
    <w:rsid w:val="003A7D30"/>
    <w:rsid w:val="003B056F"/>
    <w:rsid w:val="003B39FC"/>
    <w:rsid w:val="003C08EC"/>
    <w:rsid w:val="003C388C"/>
    <w:rsid w:val="003C7852"/>
    <w:rsid w:val="003D09A1"/>
    <w:rsid w:val="003E61BF"/>
    <w:rsid w:val="00405EC3"/>
    <w:rsid w:val="00405FF0"/>
    <w:rsid w:val="00410404"/>
    <w:rsid w:val="004104AC"/>
    <w:rsid w:val="00440A6B"/>
    <w:rsid w:val="00445E86"/>
    <w:rsid w:val="00456FC7"/>
    <w:rsid w:val="00474E04"/>
    <w:rsid w:val="004763D3"/>
    <w:rsid w:val="00494AA7"/>
    <w:rsid w:val="00496838"/>
    <w:rsid w:val="004C1A2A"/>
    <w:rsid w:val="004C2AC0"/>
    <w:rsid w:val="004D0C5A"/>
    <w:rsid w:val="004D184C"/>
    <w:rsid w:val="004D1A13"/>
    <w:rsid w:val="004E1396"/>
    <w:rsid w:val="004E4EA0"/>
    <w:rsid w:val="00512252"/>
    <w:rsid w:val="00545D75"/>
    <w:rsid w:val="00556726"/>
    <w:rsid w:val="00562335"/>
    <w:rsid w:val="00563EBC"/>
    <w:rsid w:val="00566937"/>
    <w:rsid w:val="00575ED0"/>
    <w:rsid w:val="00576FA4"/>
    <w:rsid w:val="005853E4"/>
    <w:rsid w:val="0058549D"/>
    <w:rsid w:val="00594B67"/>
    <w:rsid w:val="005B4095"/>
    <w:rsid w:val="005C3F57"/>
    <w:rsid w:val="005E5B21"/>
    <w:rsid w:val="005F53B8"/>
    <w:rsid w:val="00600B21"/>
    <w:rsid w:val="006011E8"/>
    <w:rsid w:val="00603630"/>
    <w:rsid w:val="006158A6"/>
    <w:rsid w:val="0062283B"/>
    <w:rsid w:val="006230A3"/>
    <w:rsid w:val="0062741F"/>
    <w:rsid w:val="00631525"/>
    <w:rsid w:val="00634F7B"/>
    <w:rsid w:val="006429DB"/>
    <w:rsid w:val="00671E42"/>
    <w:rsid w:val="006A5A14"/>
    <w:rsid w:val="006B2446"/>
    <w:rsid w:val="006B6A5F"/>
    <w:rsid w:val="006C7AA1"/>
    <w:rsid w:val="006D027E"/>
    <w:rsid w:val="006D35EF"/>
    <w:rsid w:val="006D72B9"/>
    <w:rsid w:val="006E1171"/>
    <w:rsid w:val="006F0971"/>
    <w:rsid w:val="006F3737"/>
    <w:rsid w:val="006F475E"/>
    <w:rsid w:val="00704110"/>
    <w:rsid w:val="00706A62"/>
    <w:rsid w:val="00711794"/>
    <w:rsid w:val="00722C59"/>
    <w:rsid w:val="00722E33"/>
    <w:rsid w:val="0072334C"/>
    <w:rsid w:val="00724899"/>
    <w:rsid w:val="007279BA"/>
    <w:rsid w:val="00731D9D"/>
    <w:rsid w:val="007343AF"/>
    <w:rsid w:val="00746A2D"/>
    <w:rsid w:val="007A2E48"/>
    <w:rsid w:val="007B29CC"/>
    <w:rsid w:val="007E0757"/>
    <w:rsid w:val="00812799"/>
    <w:rsid w:val="008137E9"/>
    <w:rsid w:val="00821EED"/>
    <w:rsid w:val="008522D1"/>
    <w:rsid w:val="00875C52"/>
    <w:rsid w:val="0089206E"/>
    <w:rsid w:val="00895BEA"/>
    <w:rsid w:val="008A3497"/>
    <w:rsid w:val="008B5D1D"/>
    <w:rsid w:val="008D36B1"/>
    <w:rsid w:val="008F582D"/>
    <w:rsid w:val="00907E27"/>
    <w:rsid w:val="00915A65"/>
    <w:rsid w:val="00917A54"/>
    <w:rsid w:val="00944EB9"/>
    <w:rsid w:val="00950944"/>
    <w:rsid w:val="00953E64"/>
    <w:rsid w:val="00956B78"/>
    <w:rsid w:val="00957BF8"/>
    <w:rsid w:val="00971DC3"/>
    <w:rsid w:val="00972921"/>
    <w:rsid w:val="009C2943"/>
    <w:rsid w:val="009D062D"/>
    <w:rsid w:val="009D2D88"/>
    <w:rsid w:val="009F24EF"/>
    <w:rsid w:val="009F50B6"/>
    <w:rsid w:val="00A00FD8"/>
    <w:rsid w:val="00A101CE"/>
    <w:rsid w:val="00A154F7"/>
    <w:rsid w:val="00A25C7E"/>
    <w:rsid w:val="00A43553"/>
    <w:rsid w:val="00A67F0D"/>
    <w:rsid w:val="00A71375"/>
    <w:rsid w:val="00A8267E"/>
    <w:rsid w:val="00A9383D"/>
    <w:rsid w:val="00A97488"/>
    <w:rsid w:val="00AC3CD3"/>
    <w:rsid w:val="00AC5391"/>
    <w:rsid w:val="00AD0012"/>
    <w:rsid w:val="00AD2C1C"/>
    <w:rsid w:val="00AE7FD1"/>
    <w:rsid w:val="00B047D1"/>
    <w:rsid w:val="00B23FC4"/>
    <w:rsid w:val="00B41B40"/>
    <w:rsid w:val="00B41BC0"/>
    <w:rsid w:val="00B44539"/>
    <w:rsid w:val="00B60639"/>
    <w:rsid w:val="00B745B2"/>
    <w:rsid w:val="00B85892"/>
    <w:rsid w:val="00B91E8D"/>
    <w:rsid w:val="00BA0992"/>
    <w:rsid w:val="00BB05E6"/>
    <w:rsid w:val="00BC3D40"/>
    <w:rsid w:val="00BE56DF"/>
    <w:rsid w:val="00BF0269"/>
    <w:rsid w:val="00BF2B8C"/>
    <w:rsid w:val="00C0517A"/>
    <w:rsid w:val="00C15554"/>
    <w:rsid w:val="00C26074"/>
    <w:rsid w:val="00C26739"/>
    <w:rsid w:val="00C26EB8"/>
    <w:rsid w:val="00C340C7"/>
    <w:rsid w:val="00C43126"/>
    <w:rsid w:val="00C5048A"/>
    <w:rsid w:val="00C745B3"/>
    <w:rsid w:val="00C83B0A"/>
    <w:rsid w:val="00CB1E77"/>
    <w:rsid w:val="00CE0967"/>
    <w:rsid w:val="00CE1E0C"/>
    <w:rsid w:val="00CE277E"/>
    <w:rsid w:val="00CE5168"/>
    <w:rsid w:val="00D46923"/>
    <w:rsid w:val="00D536E3"/>
    <w:rsid w:val="00D56867"/>
    <w:rsid w:val="00D93108"/>
    <w:rsid w:val="00D932D4"/>
    <w:rsid w:val="00DB7867"/>
    <w:rsid w:val="00DC1235"/>
    <w:rsid w:val="00DC1F3F"/>
    <w:rsid w:val="00DC7EA2"/>
    <w:rsid w:val="00DF0117"/>
    <w:rsid w:val="00DF0CBF"/>
    <w:rsid w:val="00DF52A9"/>
    <w:rsid w:val="00E02A7F"/>
    <w:rsid w:val="00E07505"/>
    <w:rsid w:val="00E07880"/>
    <w:rsid w:val="00E13B3B"/>
    <w:rsid w:val="00E22F67"/>
    <w:rsid w:val="00E30AFF"/>
    <w:rsid w:val="00E33EDB"/>
    <w:rsid w:val="00E357AF"/>
    <w:rsid w:val="00E644B1"/>
    <w:rsid w:val="00E67161"/>
    <w:rsid w:val="00E7086B"/>
    <w:rsid w:val="00E82621"/>
    <w:rsid w:val="00E86ABD"/>
    <w:rsid w:val="00E9490D"/>
    <w:rsid w:val="00EB3587"/>
    <w:rsid w:val="00ED4402"/>
    <w:rsid w:val="00F13D01"/>
    <w:rsid w:val="00F30146"/>
    <w:rsid w:val="00F322B2"/>
    <w:rsid w:val="00F65A60"/>
    <w:rsid w:val="00F65F37"/>
    <w:rsid w:val="00F7607C"/>
    <w:rsid w:val="00F77C9A"/>
    <w:rsid w:val="00F80BE5"/>
    <w:rsid w:val="00FA71FC"/>
    <w:rsid w:val="00FA7BE3"/>
    <w:rsid w:val="00FB0D74"/>
    <w:rsid w:val="00FB4F65"/>
    <w:rsid w:val="00FB576C"/>
    <w:rsid w:val="00FD2AA6"/>
    <w:rsid w:val="00FE7E8A"/>
    <w:rsid w:val="00FF5DB5"/>
    <w:rsid w:val="01F13434"/>
    <w:rsid w:val="025B3C7B"/>
    <w:rsid w:val="02B074AC"/>
    <w:rsid w:val="048E56D2"/>
    <w:rsid w:val="04C335CE"/>
    <w:rsid w:val="05113B25"/>
    <w:rsid w:val="05342D0B"/>
    <w:rsid w:val="05616943"/>
    <w:rsid w:val="073763B8"/>
    <w:rsid w:val="07391925"/>
    <w:rsid w:val="09324657"/>
    <w:rsid w:val="0A41763A"/>
    <w:rsid w:val="0A5D1DCF"/>
    <w:rsid w:val="0A6B3D13"/>
    <w:rsid w:val="0B0C6DFF"/>
    <w:rsid w:val="0B1526A9"/>
    <w:rsid w:val="0B4B60CB"/>
    <w:rsid w:val="0DF742E8"/>
    <w:rsid w:val="0E306947"/>
    <w:rsid w:val="0E770F85"/>
    <w:rsid w:val="0ECD2CAC"/>
    <w:rsid w:val="0F882908"/>
    <w:rsid w:val="0FEB39D9"/>
    <w:rsid w:val="10EB4281"/>
    <w:rsid w:val="11B37150"/>
    <w:rsid w:val="122431D2"/>
    <w:rsid w:val="128A5CDC"/>
    <w:rsid w:val="139C5FA3"/>
    <w:rsid w:val="152E36CE"/>
    <w:rsid w:val="15634011"/>
    <w:rsid w:val="16075995"/>
    <w:rsid w:val="163F05DA"/>
    <w:rsid w:val="165D6CB3"/>
    <w:rsid w:val="16FC296F"/>
    <w:rsid w:val="1711641B"/>
    <w:rsid w:val="172123D6"/>
    <w:rsid w:val="1783099B"/>
    <w:rsid w:val="184A784C"/>
    <w:rsid w:val="19690607"/>
    <w:rsid w:val="196D545F"/>
    <w:rsid w:val="19772DE4"/>
    <w:rsid w:val="19DF45AE"/>
    <w:rsid w:val="1A3A17E5"/>
    <w:rsid w:val="1B763F45"/>
    <w:rsid w:val="1BDD4B1E"/>
    <w:rsid w:val="1C2D5FD2"/>
    <w:rsid w:val="1D281406"/>
    <w:rsid w:val="1E605CFE"/>
    <w:rsid w:val="1EE771CB"/>
    <w:rsid w:val="204C04C4"/>
    <w:rsid w:val="210112AE"/>
    <w:rsid w:val="22010E3A"/>
    <w:rsid w:val="22DD7731"/>
    <w:rsid w:val="23757D3B"/>
    <w:rsid w:val="245C4A4D"/>
    <w:rsid w:val="25704604"/>
    <w:rsid w:val="26002AE2"/>
    <w:rsid w:val="265E3C10"/>
    <w:rsid w:val="2681079B"/>
    <w:rsid w:val="26962499"/>
    <w:rsid w:val="28257C1A"/>
    <w:rsid w:val="285D48A0"/>
    <w:rsid w:val="287560DE"/>
    <w:rsid w:val="28857ADB"/>
    <w:rsid w:val="28ED58D1"/>
    <w:rsid w:val="28FC235B"/>
    <w:rsid w:val="299C5651"/>
    <w:rsid w:val="29FF7627"/>
    <w:rsid w:val="2A8F1D25"/>
    <w:rsid w:val="2B111EB7"/>
    <w:rsid w:val="2B6F361E"/>
    <w:rsid w:val="2F2F348A"/>
    <w:rsid w:val="2FD7142C"/>
    <w:rsid w:val="3027782D"/>
    <w:rsid w:val="30357A05"/>
    <w:rsid w:val="30B92302"/>
    <w:rsid w:val="30BA6D84"/>
    <w:rsid w:val="31DE6AA2"/>
    <w:rsid w:val="32AA2E28"/>
    <w:rsid w:val="33582884"/>
    <w:rsid w:val="34353C35"/>
    <w:rsid w:val="355754E9"/>
    <w:rsid w:val="35643762"/>
    <w:rsid w:val="35D03732"/>
    <w:rsid w:val="36CC02E1"/>
    <w:rsid w:val="37341001"/>
    <w:rsid w:val="378974B0"/>
    <w:rsid w:val="39532C66"/>
    <w:rsid w:val="3A995C5C"/>
    <w:rsid w:val="3ACF167E"/>
    <w:rsid w:val="3B037579"/>
    <w:rsid w:val="3B1A3241"/>
    <w:rsid w:val="3B1D063B"/>
    <w:rsid w:val="3F650802"/>
    <w:rsid w:val="3F9609BC"/>
    <w:rsid w:val="3FD57736"/>
    <w:rsid w:val="3FE67B95"/>
    <w:rsid w:val="400E0B31"/>
    <w:rsid w:val="423050F8"/>
    <w:rsid w:val="42693060"/>
    <w:rsid w:val="42B957FA"/>
    <w:rsid w:val="42C817D4"/>
    <w:rsid w:val="43BA5753"/>
    <w:rsid w:val="44444E8A"/>
    <w:rsid w:val="444C3D3F"/>
    <w:rsid w:val="45AD4CB1"/>
    <w:rsid w:val="45E5444B"/>
    <w:rsid w:val="48EE3617"/>
    <w:rsid w:val="490801E4"/>
    <w:rsid w:val="49172B6D"/>
    <w:rsid w:val="493556E9"/>
    <w:rsid w:val="49BA799D"/>
    <w:rsid w:val="49EF67B1"/>
    <w:rsid w:val="49EF7646"/>
    <w:rsid w:val="49F17A4A"/>
    <w:rsid w:val="4A3414FD"/>
    <w:rsid w:val="4A422E4C"/>
    <w:rsid w:val="4AB012E0"/>
    <w:rsid w:val="4BA3693A"/>
    <w:rsid w:val="4C59593F"/>
    <w:rsid w:val="4DE81C5E"/>
    <w:rsid w:val="4ECC0AD3"/>
    <w:rsid w:val="4F952A3E"/>
    <w:rsid w:val="50EE4AFC"/>
    <w:rsid w:val="51053BF3"/>
    <w:rsid w:val="550B5550"/>
    <w:rsid w:val="56170651"/>
    <w:rsid w:val="56E47788"/>
    <w:rsid w:val="57AA1051"/>
    <w:rsid w:val="589F66DB"/>
    <w:rsid w:val="594B5AD2"/>
    <w:rsid w:val="5B724982"/>
    <w:rsid w:val="5BDD283D"/>
    <w:rsid w:val="5E6C3504"/>
    <w:rsid w:val="5E745F14"/>
    <w:rsid w:val="5E75053D"/>
    <w:rsid w:val="613F0A5C"/>
    <w:rsid w:val="62595B4D"/>
    <w:rsid w:val="62B40FD5"/>
    <w:rsid w:val="62D82F16"/>
    <w:rsid w:val="64000357"/>
    <w:rsid w:val="64ED07CF"/>
    <w:rsid w:val="65235556"/>
    <w:rsid w:val="658630FD"/>
    <w:rsid w:val="66507A6C"/>
    <w:rsid w:val="675B2171"/>
    <w:rsid w:val="68A35D74"/>
    <w:rsid w:val="68D62580"/>
    <w:rsid w:val="6A8F5B25"/>
    <w:rsid w:val="6A933BC6"/>
    <w:rsid w:val="6C007039"/>
    <w:rsid w:val="6DB8096F"/>
    <w:rsid w:val="700F0193"/>
    <w:rsid w:val="703642F5"/>
    <w:rsid w:val="70A46B2D"/>
    <w:rsid w:val="712A5284"/>
    <w:rsid w:val="72213F14"/>
    <w:rsid w:val="726C5429"/>
    <w:rsid w:val="737A2395"/>
    <w:rsid w:val="74AC5FB0"/>
    <w:rsid w:val="769654A8"/>
    <w:rsid w:val="76D93F1F"/>
    <w:rsid w:val="784F166F"/>
    <w:rsid w:val="787153FD"/>
    <w:rsid w:val="7B7A0BB6"/>
    <w:rsid w:val="7C666DD4"/>
    <w:rsid w:val="7ED95BF4"/>
    <w:rsid w:val="7FFB603E"/>
    <w:rsid w:val="7FFC1ED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qFormat="1" w:unhideWhenUsed="0" w:uiPriority="0" w:semiHidden="0"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iPriority="99" w:semiHidden="0"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qFormat="1" w:uiPriority="99" w:semiHidden="0"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0"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qFormat="1" w:unhideWhenUsed="0" w:uiPriority="0" w:semiHidden="0"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0"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iPriority="99" w:semiHidden="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semiHidden="0" w:name="Balloon Text"/>
    <w:lsdException w:unhideWhenUsed="0" w:uiPriority="9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3">
    <w:name w:val="heading 1"/>
    <w:basedOn w:val="1"/>
    <w:next w:val="1"/>
    <w:qFormat/>
    <w:uiPriority w:val="0"/>
    <w:pPr>
      <w:keepNext/>
      <w:keepLines/>
      <w:spacing w:before="340" w:after="330" w:line="576" w:lineRule="auto"/>
      <w:outlineLvl w:val="0"/>
    </w:pPr>
    <w:rPr>
      <w:b/>
      <w:kern w:val="44"/>
      <w:sz w:val="44"/>
    </w:rPr>
  </w:style>
  <w:style w:type="character" w:default="1" w:styleId="13">
    <w:name w:val="Default Paragraph Font"/>
    <w:semiHidden/>
    <w:unhideWhenUsed/>
    <w:qFormat/>
    <w:uiPriority w:val="1"/>
  </w:style>
  <w:style w:type="table" w:default="1" w:styleId="12">
    <w:name w:val="Normal Table"/>
    <w:semiHidden/>
    <w:unhideWhenUsed/>
    <w:qFormat/>
    <w:uiPriority w:val="99"/>
    <w:tblPr>
      <w:tblCellMar>
        <w:top w:w="0" w:type="dxa"/>
        <w:left w:w="108" w:type="dxa"/>
        <w:bottom w:w="0" w:type="dxa"/>
        <w:right w:w="108" w:type="dxa"/>
      </w:tblCellMar>
    </w:tblPr>
  </w:style>
  <w:style w:type="paragraph" w:styleId="2">
    <w:name w:val="toc 2"/>
    <w:basedOn w:val="1"/>
    <w:next w:val="1"/>
    <w:qFormat/>
    <w:uiPriority w:val="0"/>
    <w:pPr>
      <w:ind w:left="420" w:leftChars="200"/>
    </w:pPr>
  </w:style>
  <w:style w:type="paragraph" w:styleId="4">
    <w:name w:val="annotation text"/>
    <w:basedOn w:val="1"/>
    <w:link w:val="17"/>
    <w:unhideWhenUsed/>
    <w:qFormat/>
    <w:uiPriority w:val="99"/>
    <w:pPr>
      <w:jc w:val="left"/>
    </w:pPr>
  </w:style>
  <w:style w:type="paragraph" w:styleId="5">
    <w:name w:val="Body Text"/>
    <w:next w:val="6"/>
    <w:qFormat/>
    <w:uiPriority w:val="0"/>
    <w:pPr>
      <w:widowControl w:val="0"/>
      <w:spacing w:after="120"/>
      <w:jc w:val="both"/>
    </w:pPr>
    <w:rPr>
      <w:rFonts w:ascii="Times New Roman" w:hAnsi="Times New Roman" w:eastAsia="仿宋_GB2312" w:cs="Times New Roman"/>
      <w:kern w:val="2"/>
      <w:sz w:val="30"/>
      <w:szCs w:val="24"/>
      <w:lang w:val="en-US" w:eastAsia="zh-CN" w:bidi="ar-SA"/>
    </w:rPr>
  </w:style>
  <w:style w:type="paragraph" w:styleId="6">
    <w:name w:val="Body Text First Indent"/>
    <w:next w:val="5"/>
    <w:qFormat/>
    <w:uiPriority w:val="0"/>
    <w:pPr>
      <w:widowControl w:val="0"/>
      <w:spacing w:after="120"/>
      <w:ind w:firstLine="720"/>
      <w:jc w:val="both"/>
    </w:pPr>
    <w:rPr>
      <w:rFonts w:ascii="Times New Roman" w:hAnsi="Times New Roman" w:eastAsia="仿宋_GB2312" w:cs="Times New Roman"/>
      <w:kern w:val="2"/>
      <w:sz w:val="30"/>
      <w:szCs w:val="24"/>
      <w:lang w:val="en-US" w:eastAsia="zh-CN" w:bidi="ar-SA"/>
    </w:rPr>
  </w:style>
  <w:style w:type="paragraph" w:styleId="7">
    <w:name w:val="Balloon Text"/>
    <w:basedOn w:val="1"/>
    <w:link w:val="18"/>
    <w:unhideWhenUsed/>
    <w:qFormat/>
    <w:uiPriority w:val="99"/>
    <w:rPr>
      <w:sz w:val="18"/>
      <w:szCs w:val="18"/>
    </w:rPr>
  </w:style>
  <w:style w:type="paragraph" w:styleId="8">
    <w:name w:val="footer"/>
    <w:basedOn w:val="1"/>
    <w:link w:val="19"/>
    <w:unhideWhenUsed/>
    <w:qFormat/>
    <w:uiPriority w:val="99"/>
    <w:pPr>
      <w:tabs>
        <w:tab w:val="center" w:pos="4153"/>
        <w:tab w:val="right" w:pos="8306"/>
      </w:tabs>
      <w:snapToGrid w:val="0"/>
      <w:jc w:val="left"/>
    </w:pPr>
    <w:rPr>
      <w:sz w:val="18"/>
      <w:szCs w:val="18"/>
    </w:rPr>
  </w:style>
  <w:style w:type="paragraph" w:styleId="9">
    <w:name w:val="header"/>
    <w:basedOn w:val="1"/>
    <w:link w:val="20"/>
    <w:unhideWhenUsed/>
    <w:qFormat/>
    <w:uiPriority w:val="99"/>
    <w:pPr>
      <w:pBdr>
        <w:bottom w:val="single" w:color="auto" w:sz="6" w:space="1"/>
      </w:pBdr>
      <w:tabs>
        <w:tab w:val="center" w:pos="4153"/>
        <w:tab w:val="right" w:pos="8306"/>
      </w:tabs>
      <w:snapToGrid w:val="0"/>
      <w:jc w:val="center"/>
    </w:pPr>
    <w:rPr>
      <w:sz w:val="18"/>
      <w:szCs w:val="18"/>
    </w:rPr>
  </w:style>
  <w:style w:type="paragraph" w:styleId="10">
    <w:name w:val="Normal (Web)"/>
    <w:basedOn w:val="1"/>
    <w:unhideWhenUsed/>
    <w:qFormat/>
    <w:uiPriority w:val="0"/>
    <w:pPr>
      <w:spacing w:before="100" w:beforeAutospacing="1" w:after="100" w:afterAutospacing="1"/>
      <w:jc w:val="left"/>
    </w:pPr>
    <w:rPr>
      <w:kern w:val="0"/>
      <w:sz w:val="24"/>
    </w:rPr>
  </w:style>
  <w:style w:type="paragraph" w:styleId="11">
    <w:name w:val="annotation subject"/>
    <w:basedOn w:val="4"/>
    <w:next w:val="4"/>
    <w:link w:val="21"/>
    <w:unhideWhenUsed/>
    <w:qFormat/>
    <w:uiPriority w:val="99"/>
    <w:rPr>
      <w:b/>
      <w:bCs/>
    </w:rPr>
  </w:style>
  <w:style w:type="character" w:styleId="14">
    <w:name w:val="Strong"/>
    <w:qFormat/>
    <w:uiPriority w:val="22"/>
    <w:rPr>
      <w:b/>
      <w:bCs/>
    </w:rPr>
  </w:style>
  <w:style w:type="character" w:styleId="15">
    <w:name w:val="page number"/>
    <w:qFormat/>
    <w:uiPriority w:val="0"/>
  </w:style>
  <w:style w:type="character" w:styleId="16">
    <w:name w:val="annotation reference"/>
    <w:unhideWhenUsed/>
    <w:qFormat/>
    <w:uiPriority w:val="99"/>
    <w:rPr>
      <w:sz w:val="21"/>
      <w:szCs w:val="21"/>
    </w:rPr>
  </w:style>
  <w:style w:type="character" w:customStyle="1" w:styleId="17">
    <w:name w:val="批注文字 字符"/>
    <w:link w:val="4"/>
    <w:qFormat/>
    <w:uiPriority w:val="99"/>
    <w:rPr>
      <w:kern w:val="2"/>
      <w:sz w:val="21"/>
      <w:szCs w:val="24"/>
    </w:rPr>
  </w:style>
  <w:style w:type="character" w:customStyle="1" w:styleId="18">
    <w:name w:val="批注框文本 字符"/>
    <w:link w:val="7"/>
    <w:semiHidden/>
    <w:qFormat/>
    <w:uiPriority w:val="99"/>
    <w:rPr>
      <w:kern w:val="2"/>
      <w:sz w:val="18"/>
      <w:szCs w:val="18"/>
    </w:rPr>
  </w:style>
  <w:style w:type="character" w:customStyle="1" w:styleId="19">
    <w:name w:val="页脚 字符"/>
    <w:link w:val="8"/>
    <w:qFormat/>
    <w:uiPriority w:val="99"/>
    <w:rPr>
      <w:kern w:val="2"/>
      <w:sz w:val="18"/>
      <w:szCs w:val="18"/>
    </w:rPr>
  </w:style>
  <w:style w:type="character" w:customStyle="1" w:styleId="20">
    <w:name w:val="页眉 字符"/>
    <w:link w:val="9"/>
    <w:semiHidden/>
    <w:qFormat/>
    <w:uiPriority w:val="99"/>
    <w:rPr>
      <w:kern w:val="2"/>
      <w:sz w:val="18"/>
      <w:szCs w:val="18"/>
    </w:rPr>
  </w:style>
  <w:style w:type="character" w:customStyle="1" w:styleId="21">
    <w:name w:val="批注主题 字符"/>
    <w:link w:val="11"/>
    <w:semiHidden/>
    <w:qFormat/>
    <w:uiPriority w:val="99"/>
    <w:rPr>
      <w:b/>
      <w:bCs/>
      <w:kern w:val="2"/>
      <w:sz w:val="21"/>
      <w:szCs w:val="24"/>
    </w:rPr>
  </w:style>
  <w:style w:type="paragraph" w:customStyle="1" w:styleId="22">
    <w:name w:val="列出段落1"/>
    <w:basedOn w:val="1"/>
    <w:qFormat/>
    <w:uiPriority w:val="34"/>
    <w:pPr>
      <w:ind w:firstLine="420" w:firstLineChars="200"/>
    </w:pPr>
    <w:rPr>
      <w:rFonts w:ascii="Calibri" w:hAnsi="Calibri"/>
      <w:szCs w:val="22"/>
    </w:rPr>
  </w:style>
  <w:style w:type="paragraph" w:customStyle="1" w:styleId="23">
    <w:name w:val="_Style 19"/>
    <w:unhideWhenUsed/>
    <w:qFormat/>
    <w:uiPriority w:val="99"/>
    <w:rPr>
      <w:rFonts w:ascii="Times New Roman" w:hAnsi="Times New Roman" w:eastAsia="宋体" w:cs="Times New Roman"/>
      <w:kern w:val="2"/>
      <w:sz w:val="21"/>
      <w:szCs w:val="24"/>
      <w:lang w:val="en-US" w:eastAsia="zh-CN" w:bidi="ar-SA"/>
    </w:rPr>
  </w:style>
  <w:style w:type="paragraph" w:styleId="24">
    <w:name w:val="List Paragraph"/>
    <w:basedOn w:val="1"/>
    <w:qFormat/>
    <w:uiPriority w:val="34"/>
    <w:pPr>
      <w:ind w:firstLine="420" w:firstLineChars="200"/>
    </w:pPr>
    <w:rPr>
      <w:rFonts w:ascii="Calibri" w:hAnsi="Calibri"/>
      <w:szCs w:val="22"/>
    </w:rPr>
  </w:style>
</w:styles>
</file>

<file path=word/_rels/document.xml.rels><?xml version="1.0" encoding="UTF-8" standalone="yes"?>
<Relationships xmlns="http://schemas.openxmlformats.org/package/2006/relationships"><Relationship Id="rId6" Type="http://schemas.openxmlformats.org/officeDocument/2006/relationships/fontTable" Target="fontTable.xml"/><Relationship Id="rId5" Type="http://schemas.openxmlformats.org/officeDocument/2006/relationships/theme" Target="theme/theme1.xml"/><Relationship Id="rId4" Type="http://schemas.openxmlformats.org/officeDocument/2006/relationships/footer" Target="footer1.xml"/><Relationship Id="rId3" Type="http://schemas.openxmlformats.org/officeDocument/2006/relationships/header" Target="header1.xml"/><Relationship Id="rId2" Type="http://schemas.openxmlformats.org/officeDocument/2006/relationships/settings" Target="settings.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Company>Legend (Beijing) Limited</Company>
  <Pages>5</Pages>
  <Words>1224</Words>
  <Characters>1715</Characters>
  <Lines>25</Lines>
  <Paragraphs>7</Paragraphs>
  <TotalTime>0</TotalTime>
  <ScaleCrop>false</ScaleCrop>
  <LinksUpToDate>false</LinksUpToDate>
  <CharactersWithSpaces>1770</CharactersWithSpaces>
  <Application>WPS Office_12.1.0.26375_F1E327BC-269C-435d-A152-05C5408002CA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2024-03-07T01:39:00Z</dcterms:created>
  <dc:creator>Legend User</dc:creator>
  <cp:lastModifiedBy>cui</cp:lastModifiedBy>
  <cp:lastPrinted>2025-06-20T01:45:00Z</cp:lastPrinted>
  <dcterms:modified xsi:type="dcterms:W3CDTF">2026-05-28T08:51:17Z</dcterms:modified>
  <dc:title>××产品质量监督抽查实施细则</dc:title>
  <cp:revision>5</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2052-12.1.0.26375</vt:lpwstr>
  </property>
  <property fmtid="{D5CDD505-2E9C-101B-9397-08002B2CF9AE}" pid="3" name="KSOSaveFontToCloudKey">
    <vt:lpwstr>550453206_embed</vt:lpwstr>
  </property>
  <property fmtid="{D5CDD505-2E9C-101B-9397-08002B2CF9AE}" pid="4" name="ICV">
    <vt:lpwstr>FE1F0904963C426DBF596BA875573557_13</vt:lpwstr>
  </property>
  <property fmtid="{D5CDD505-2E9C-101B-9397-08002B2CF9AE}" pid="5" name="KSOTemplateDocerSaveRecord">
    <vt:lpwstr>eyJoZGlkIjoiMDk3M2U0ZDQ4YzMyZDhlMTI3OWMwYjE2N2QwMmUxMGEiLCJ1c2VySWQiOiI0Mjk3ODY0MzAifQ==</vt:lpwstr>
  </property>
</Properties>
</file>