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太阳能板</w:t>
      </w:r>
      <w:r>
        <w:rPr>
          <w:rFonts w:hint="eastAsia" w:ascii="Times New Roman" w:hAnsi="Times New Roman" w:eastAsia="方正小标宋简体" w:cs="方正小标宋简体"/>
          <w:color w:val="auto"/>
          <w:sz w:val="44"/>
          <w:szCs w:val="44"/>
          <w:highlight w:val="none"/>
        </w:rPr>
        <w:t>产品质量监督抽查实施细则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color w:val="auto"/>
          <w:sz w:val="32"/>
          <w:szCs w:val="32"/>
          <w:highlight w:val="none"/>
        </w:rPr>
      </w:pPr>
      <w:r>
        <w:rPr>
          <w:rFonts w:hint="eastAsia" w:ascii="Times New Roman" w:hAnsi="Times New Roman" w:eastAsia="黑体" w:cs="黑体"/>
          <w:color w:val="auto"/>
          <w:sz w:val="32"/>
          <w:szCs w:val="40"/>
          <w:highlight w:val="none"/>
        </w:rPr>
        <w:t>1 抽样方法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以随机抽样的方式在被抽查生产企业或经营主体的成品仓库/待销产品中抽取。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每批次产品抽取样品2块，其中1块作为检验样品、1块作为备样。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default" w:ascii="Times New Roman" w:hAnsi="Times New Roman" w:eastAsia="仿宋_GB2312"/>
          <w:sz w:val="32"/>
          <w:szCs w:val="32"/>
        </w:rPr>
        <w:t>跟踪抽查可以根据不合格项目情况适当减少抽样量（至少包括2个抽样量：1个是检验用，1个是备用），且须经组织监督抽查（或印发监督抽查方案）的市场监管部门同意；跟踪抽查的抽样量须同时符合如下要求：1.原则上跟踪抽查抽样量与上述常规抽查抽样量一致；2.抽样量以库存量为准（且不得多于本细则要求的常规抽查抽样量），且符合“国内待销产品”等要求。</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2 检验依据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2.1 晶体硅太阳能电池组件</w:t>
      </w:r>
    </w:p>
    <w:tbl>
      <w:tblPr>
        <w:tblStyle w:val="2"/>
        <w:tblW w:w="88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8"/>
        <w:gridCol w:w="4187"/>
        <w:gridCol w:w="33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blHeader/>
          <w:jc w:val="center"/>
        </w:trPr>
        <w:tc>
          <w:tcPr>
            <w:tcW w:w="1338"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000000"/>
                <w:sz w:val="28"/>
                <w:szCs w:val="28"/>
                <w:highlight w:val="none"/>
                <w:lang w:bidi="ar"/>
              </w:rPr>
            </w:pPr>
            <w:r>
              <w:rPr>
                <w:rFonts w:hint="eastAsia" w:ascii="Times New Roman" w:hAnsi="Times New Roman" w:eastAsia="仿宋_GB2312" w:cs="仿宋_GB2312"/>
                <w:b/>
                <w:bCs/>
                <w:color w:val="000000"/>
                <w:sz w:val="28"/>
                <w:szCs w:val="28"/>
                <w:highlight w:val="none"/>
                <w:lang w:bidi="ar"/>
              </w:rPr>
              <w:t>序号</w:t>
            </w:r>
          </w:p>
        </w:tc>
        <w:tc>
          <w:tcPr>
            <w:tcW w:w="418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000000"/>
                <w:sz w:val="28"/>
                <w:szCs w:val="28"/>
                <w:highlight w:val="none"/>
                <w:lang w:bidi="ar"/>
              </w:rPr>
            </w:pPr>
            <w:r>
              <w:rPr>
                <w:rFonts w:hint="eastAsia" w:ascii="Times New Roman" w:hAnsi="Times New Roman" w:eastAsia="仿宋_GB2312" w:cs="仿宋_GB2312"/>
                <w:b/>
                <w:bCs/>
                <w:color w:val="000000"/>
                <w:sz w:val="28"/>
                <w:szCs w:val="28"/>
                <w:highlight w:val="none"/>
                <w:lang w:bidi="ar"/>
              </w:rPr>
              <w:t>检验项目</w:t>
            </w:r>
          </w:p>
        </w:tc>
        <w:tc>
          <w:tcPr>
            <w:tcW w:w="33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000000"/>
                <w:sz w:val="28"/>
                <w:szCs w:val="28"/>
                <w:highlight w:val="none"/>
                <w:lang w:bidi="ar"/>
              </w:rPr>
            </w:pPr>
            <w:r>
              <w:rPr>
                <w:rFonts w:hint="eastAsia" w:ascii="Times New Roman" w:hAnsi="Times New Roman" w:eastAsia="仿宋_GB2312" w:cs="仿宋_GB2312"/>
                <w:b/>
                <w:bCs/>
                <w:color w:val="000000"/>
                <w:sz w:val="28"/>
                <w:szCs w:val="28"/>
                <w:highlight w:val="none"/>
                <w:lang w:bidi="ar"/>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338"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1</w:t>
            </w:r>
          </w:p>
        </w:tc>
        <w:tc>
          <w:tcPr>
            <w:tcW w:w="418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外观检查</w:t>
            </w:r>
          </w:p>
        </w:tc>
        <w:tc>
          <w:tcPr>
            <w:tcW w:w="333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color w:val="000000"/>
                <w:sz w:val="28"/>
                <w:szCs w:val="28"/>
                <w:highlight w:val="none"/>
                <w:lang w:val="en-US" w:eastAsia="zh-CN"/>
              </w:rPr>
            </w:pPr>
            <w:r>
              <w:rPr>
                <w:rFonts w:hint="eastAsia" w:ascii="Times New Roman" w:hAnsi="Times New Roman" w:eastAsia="仿宋_GB2312" w:cs="仿宋_GB2312"/>
                <w:color w:val="000000"/>
                <w:sz w:val="28"/>
                <w:szCs w:val="28"/>
                <w:highlight w:val="none"/>
              </w:rPr>
              <w:t>GB/T 9535</w:t>
            </w:r>
            <w:r>
              <w:rPr>
                <w:rFonts w:hint="eastAsia" w:cs="仿宋_GB2312"/>
                <w:color w:val="000000"/>
                <w:sz w:val="28"/>
                <w:szCs w:val="28"/>
                <w:highlight w:val="none"/>
                <w:lang w:eastAsia="zh-CN"/>
              </w:rPr>
              <w:t>—</w:t>
            </w:r>
            <w:r>
              <w:rPr>
                <w:rFonts w:hint="eastAsia" w:ascii="Times New Roman" w:hAnsi="Times New Roman" w:cs="仿宋_GB2312"/>
                <w:color w:val="000000"/>
                <w:sz w:val="28"/>
                <w:szCs w:val="28"/>
                <w:highlight w:val="none"/>
                <w:lang w:val="en-US" w:eastAsia="zh-CN"/>
              </w:rPr>
              <w:t>1998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338"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2</w:t>
            </w:r>
          </w:p>
        </w:tc>
        <w:tc>
          <w:tcPr>
            <w:tcW w:w="418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标准测试条件下的性能</w:t>
            </w:r>
          </w:p>
        </w:tc>
        <w:tc>
          <w:tcPr>
            <w:tcW w:w="3337" w:type="dxa"/>
            <w:vMerge w:val="continue"/>
            <w:noWrap w:val="0"/>
            <w:vAlign w:val="center"/>
          </w:tcPr>
          <w:p>
            <w:pPr>
              <w:keepNext w:val="0"/>
              <w:keepLines w:val="0"/>
              <w:pageBreakBefore w:val="0"/>
              <w:widowControl w:val="0"/>
              <w:tabs>
                <w:tab w:val="left" w:pos="2520"/>
              </w:tabs>
              <w:kinsoku/>
              <w:wordWrap/>
              <w:overflowPunct/>
              <w:topLinePunct w:val="0"/>
              <w:autoSpaceDE/>
              <w:autoSpaceDN/>
              <w:bidi w:val="0"/>
              <w:adjustRightInd/>
              <w:snapToGrid/>
              <w:spacing w:line="560" w:lineRule="exact"/>
              <w:ind w:left="-163" w:leftChars="-51"/>
              <w:jc w:val="center"/>
              <w:textAlignment w:val="auto"/>
              <w:rPr>
                <w:rFonts w:ascii="Times New Roman" w:hAnsi="Times New Roman"/>
                <w:color w:val="00000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jc w:val="center"/>
        </w:trPr>
        <w:tc>
          <w:tcPr>
            <w:tcW w:w="1338"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3</w:t>
            </w:r>
          </w:p>
        </w:tc>
        <w:tc>
          <w:tcPr>
            <w:tcW w:w="418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绝缘试验</w:t>
            </w:r>
          </w:p>
        </w:tc>
        <w:tc>
          <w:tcPr>
            <w:tcW w:w="3337" w:type="dxa"/>
            <w:vMerge w:val="continue"/>
            <w:noWrap w:val="0"/>
            <w:vAlign w:val="center"/>
          </w:tcPr>
          <w:p>
            <w:pPr>
              <w:keepNext w:val="0"/>
              <w:keepLines w:val="0"/>
              <w:pageBreakBefore w:val="0"/>
              <w:widowControl w:val="0"/>
              <w:tabs>
                <w:tab w:val="left" w:pos="2520"/>
              </w:tabs>
              <w:kinsoku/>
              <w:wordWrap/>
              <w:overflowPunct/>
              <w:topLinePunct w:val="0"/>
              <w:autoSpaceDE/>
              <w:autoSpaceDN/>
              <w:bidi w:val="0"/>
              <w:adjustRightInd/>
              <w:snapToGrid/>
              <w:spacing w:line="560" w:lineRule="exact"/>
              <w:ind w:left="-163" w:leftChars="-51"/>
              <w:jc w:val="center"/>
              <w:textAlignment w:val="auto"/>
              <w:rPr>
                <w:rFonts w:ascii="Times New Roman" w:hAnsi="Times New Roman"/>
                <w:color w:val="000000"/>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1338"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000000"/>
                <w:sz w:val="28"/>
                <w:szCs w:val="28"/>
                <w:highlight w:val="none"/>
                <w:lang w:val="en-US" w:eastAsia="zh-CN"/>
              </w:rPr>
            </w:pPr>
            <w:r>
              <w:rPr>
                <w:rFonts w:hint="eastAsia" w:ascii="Times New Roman" w:hAnsi="Times New Roman" w:cs="仿宋_GB2312"/>
                <w:color w:val="000000"/>
                <w:sz w:val="28"/>
                <w:szCs w:val="28"/>
                <w:highlight w:val="none"/>
                <w:lang w:val="en-US" w:eastAsia="zh-CN"/>
              </w:rPr>
              <w:t>4</w:t>
            </w:r>
          </w:p>
        </w:tc>
        <w:tc>
          <w:tcPr>
            <w:tcW w:w="418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湿漏电流试验</w:t>
            </w:r>
          </w:p>
        </w:tc>
        <w:tc>
          <w:tcPr>
            <w:tcW w:w="3337" w:type="dxa"/>
            <w:vMerge w:val="continue"/>
            <w:noWrap w:val="0"/>
            <w:vAlign w:val="center"/>
          </w:tcPr>
          <w:p>
            <w:pPr>
              <w:keepNext w:val="0"/>
              <w:keepLines w:val="0"/>
              <w:pageBreakBefore w:val="0"/>
              <w:widowControl w:val="0"/>
              <w:tabs>
                <w:tab w:val="left" w:pos="2520"/>
              </w:tabs>
              <w:kinsoku/>
              <w:wordWrap/>
              <w:overflowPunct/>
              <w:topLinePunct w:val="0"/>
              <w:autoSpaceDE/>
              <w:autoSpaceDN/>
              <w:bidi w:val="0"/>
              <w:adjustRightInd/>
              <w:snapToGrid/>
              <w:spacing w:line="560" w:lineRule="exact"/>
              <w:ind w:left="-163" w:leftChars="-51"/>
              <w:jc w:val="center"/>
              <w:textAlignment w:val="auto"/>
              <w:rPr>
                <w:rFonts w:ascii="Times New Roman" w:hAnsi="Times New Roman"/>
                <w:color w:val="000000"/>
                <w:sz w:val="24"/>
                <w:highlight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注：标准测试条件下的性能只对功率参数进行判定，功率不应低于标称值的95%。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default" w:ascii="Times New Roman" w:hAnsi="Times New Roman" w:eastAsia="仿宋_GB2312" w:cs="Times New Roman"/>
          <w:sz w:val="32"/>
          <w:szCs w:val="32"/>
        </w:rPr>
        <w:t>跟踪抽查的检验项目以不合格项目为主；跟踪抽查的检验项目如少于上述检验项目，须经组织监督抽查（或印发监督抽查方案）的市场监管部门同意；跟踪抽查的检验项目须同时符合如下要求：1.检验项目原则上与上述常规抽查的检验项目一致；2.检验项目的数量必须与抽样量相匹配（与检验项目有关的样品量不可控、不可预测的除外）；3.不合格项目以外的其他检验项目必须优先选择‘（1）涉及人体健康（人身财产安全）、（2）存在前后检验关系、（3）被跟踪抽查产品检出值更接近标准值’的项目（（1）优先于（2），（2）优先于（3））；4.具体检验项目须写入“抽样单”备注处；5.检验人员可以根据实际检验情况调减不合格项目以外的其他检验项目（原则上按上述（3）、（2）、（1）的顺序调减（部分拟调减的项目已检验的除外），须经组织监督抽查（或印发监督抽查方案）的市场监管部门同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3 判定规则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3.1 依据标准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9535-1998《地面用晶体硅光伏组件设计鉴定和定型》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3.2 判定原则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仿宋_GB2312"/>
          <w:color w:val="auto"/>
          <w:sz w:val="32"/>
          <w:szCs w:val="40"/>
          <w:highlight w:val="none"/>
          <w:lang w:eastAsia="zh-CN"/>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r>
        <w:rPr>
          <w:rFonts w:hint="eastAsia" w:ascii="Times New Roman" w:hAnsi="Times New Roman" w:cs="仿宋_GB2312"/>
          <w:color w:val="auto"/>
          <w:sz w:val="32"/>
          <w:szCs w:val="40"/>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olor w:val="auto"/>
          <w:highlight w:val="none"/>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E24C63"/>
    <w:rsid w:val="5651096F"/>
    <w:rsid w:val="77E24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2026-05-09T09:10:00Z</dcterms:created>
  <dc:creator>YWB</dc:creator>
  <cp:lastModifiedBy>YWB</cp:lastModifiedBy>
  <dcterms:modified xsi:type="dcterms:W3CDTF">2026-05-14T07:51:48Z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13EDFE2753BE41CFA2EEEB3C7AFA17B6</vt:lpwstr>
  </property>
</Properties>
</file>