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cs="方正小标宋简体"/>
          <w:color w:val="000000"/>
        </w:rPr>
      </w:pPr>
      <w:r>
        <w:rPr>
          <w:rFonts w:hint="eastAsia" w:cs="方正小标宋简体"/>
          <w:color w:val="000000"/>
        </w:rPr>
        <w:t>东莞市帐篷产品质量监督抽查实施细则</w:t>
      </w:r>
    </w:p>
    <w:p>
      <w:pPr>
        <w:spacing w:line="560" w:lineRule="exact"/>
        <w:jc w:val="center"/>
        <w:rPr>
          <w:rFonts w:eastAsia="楷体_GB2312" w:cs="楷体_GB2312"/>
          <w:color w:val="000000"/>
          <w:szCs w:val="40"/>
        </w:rPr>
      </w:pPr>
      <w:r>
        <w:rPr>
          <w:rFonts w:eastAsia="楷体_GB2312" w:cs="楷体_GB2312"/>
          <w:color w:val="000000"/>
          <w:szCs w:val="40"/>
        </w:rPr>
        <w:t>（202</w:t>
      </w:r>
      <w:r>
        <w:rPr>
          <w:rFonts w:hint="eastAsia" w:eastAsia="楷体_GB2312" w:cs="楷体_GB2312"/>
          <w:color w:val="000000"/>
          <w:szCs w:val="40"/>
          <w:lang w:val="en-US" w:eastAsia="zh-CN"/>
        </w:rPr>
        <w:t>6</w:t>
      </w:r>
      <w:r>
        <w:rPr>
          <w:rFonts w:eastAsia="楷体_GB2312" w:cs="楷体_GB2312"/>
          <w:color w:val="000000"/>
          <w:szCs w:val="40"/>
        </w:rPr>
        <w:t>年版）</w:t>
      </w:r>
    </w:p>
    <w:p>
      <w:pPr>
        <w:spacing w:line="560" w:lineRule="exact"/>
        <w:rPr>
          <w:rFonts w:cs="仿宋_GB2312"/>
          <w:color w:val="000000"/>
          <w:szCs w:val="40"/>
        </w:rPr>
      </w:pPr>
    </w:p>
    <w:p>
      <w:pPr>
        <w:spacing w:line="560" w:lineRule="exact"/>
        <w:ind w:firstLine="640" w:firstLineChars="200"/>
        <w:rPr>
          <w:color w:val="000000"/>
          <w:szCs w:val="32"/>
        </w:rPr>
      </w:pPr>
      <w:r>
        <w:rPr>
          <w:rFonts w:eastAsia="黑体"/>
          <w:color w:val="000000"/>
          <w:szCs w:val="32"/>
        </w:rPr>
        <w:t>1 抽样方法</w:t>
      </w:r>
    </w:p>
    <w:p>
      <w:pPr>
        <w:spacing w:line="560" w:lineRule="exact"/>
        <w:ind w:firstLine="640" w:firstLineChars="200"/>
        <w:rPr>
          <w:rFonts w:cs="仿宋_GB2312"/>
          <w:color w:val="000000"/>
          <w:szCs w:val="40"/>
        </w:rPr>
      </w:pPr>
      <w:r>
        <w:rPr>
          <w:rFonts w:hint="eastAsia" w:cs="仿宋_GB2312"/>
          <w:color w:val="000000"/>
          <w:szCs w:val="40"/>
        </w:rPr>
        <w:t>以随机抽样的方式在被抽样生产者、销售者的待销产品中抽取</w:t>
      </w:r>
      <w:r>
        <w:rPr>
          <w:rFonts w:cs="仿宋_GB2312"/>
          <w:color w:val="000000"/>
          <w:szCs w:val="40"/>
        </w:rPr>
        <w:t>。</w:t>
      </w:r>
    </w:p>
    <w:p>
      <w:pPr>
        <w:spacing w:line="560" w:lineRule="exact"/>
        <w:ind w:firstLine="640" w:firstLineChars="200"/>
        <w:rPr>
          <w:rFonts w:cs="仿宋_GB2312"/>
          <w:color w:val="000000"/>
          <w:szCs w:val="40"/>
        </w:rPr>
      </w:pPr>
      <w:r>
        <w:rPr>
          <w:rFonts w:cs="仿宋_GB2312"/>
          <w:color w:val="000000"/>
          <w:szCs w:val="40"/>
        </w:rPr>
        <w:t>随机数一般可使用随机数表等方法产生。</w:t>
      </w:r>
    </w:p>
    <w:p>
      <w:pPr>
        <w:spacing w:line="560" w:lineRule="exact"/>
        <w:ind w:firstLine="640" w:firstLineChars="200"/>
        <w:rPr>
          <w:rFonts w:cs="仿宋_GB2312"/>
          <w:color w:val="000000"/>
          <w:szCs w:val="40"/>
        </w:rPr>
      </w:pPr>
      <w:r>
        <w:rPr>
          <w:rFonts w:cs="仿宋_GB2312"/>
          <w:color w:val="000000"/>
          <w:szCs w:val="40"/>
        </w:rPr>
        <w:t>抽查数量：每款产品抽取2组样本，第1组用于检验，第2组用于备样。</w:t>
      </w:r>
      <w:r>
        <w:rPr>
          <w:rFonts w:hint="eastAsia" w:cs="仿宋_GB2312"/>
          <w:color w:val="000000"/>
          <w:szCs w:val="40"/>
        </w:rPr>
        <w:t>具体抽样数量如下：</w:t>
      </w: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28"/>
        <w:gridCol w:w="2346"/>
        <w:gridCol w:w="2700"/>
        <w:gridCol w:w="24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498" w:type="pct"/>
          </w:tcPr>
          <w:p>
            <w:pPr>
              <w:spacing w:line="560" w:lineRule="exact"/>
              <w:jc w:val="center"/>
              <w:rPr>
                <w:rFonts w:cs="仿宋_GB2312"/>
                <w:b/>
                <w:bCs/>
                <w:color w:val="000000"/>
                <w:kern w:val="0"/>
                <w:sz w:val="24"/>
                <w:lang w:bidi="ar"/>
              </w:rPr>
            </w:pPr>
            <w:r>
              <w:rPr>
                <w:rFonts w:hint="eastAsia" w:cs="仿宋_GB2312"/>
                <w:b/>
                <w:bCs/>
                <w:color w:val="000000"/>
                <w:kern w:val="0"/>
                <w:sz w:val="24"/>
                <w:lang w:bidi="ar"/>
              </w:rPr>
              <w:t>序号</w:t>
            </w:r>
          </w:p>
        </w:tc>
        <w:tc>
          <w:tcPr>
            <w:tcW w:w="1411" w:type="pct"/>
          </w:tcPr>
          <w:p>
            <w:pPr>
              <w:spacing w:line="560" w:lineRule="exact"/>
              <w:jc w:val="center"/>
              <w:rPr>
                <w:rFonts w:cs="仿宋_GB2312"/>
                <w:b/>
                <w:bCs/>
                <w:color w:val="000000"/>
                <w:kern w:val="0"/>
                <w:sz w:val="24"/>
                <w:lang w:bidi="ar"/>
              </w:rPr>
            </w:pPr>
            <w:r>
              <w:rPr>
                <w:rFonts w:hint="eastAsia" w:cs="仿宋_GB2312"/>
                <w:b/>
                <w:bCs/>
                <w:color w:val="000000"/>
                <w:kern w:val="0"/>
                <w:sz w:val="24"/>
                <w:lang w:bidi="ar"/>
              </w:rPr>
              <w:t>产品名称</w:t>
            </w:r>
          </w:p>
        </w:tc>
        <w:tc>
          <w:tcPr>
            <w:tcW w:w="1624" w:type="pct"/>
          </w:tcPr>
          <w:p>
            <w:pPr>
              <w:spacing w:line="560" w:lineRule="exact"/>
              <w:jc w:val="center"/>
              <w:rPr>
                <w:rFonts w:cs="仿宋_GB2312"/>
                <w:b/>
                <w:bCs/>
                <w:color w:val="000000"/>
                <w:kern w:val="0"/>
                <w:sz w:val="24"/>
                <w:lang w:bidi="ar"/>
              </w:rPr>
            </w:pPr>
            <w:r>
              <w:rPr>
                <w:rFonts w:hint="eastAsia" w:cs="仿宋_GB2312"/>
                <w:b/>
                <w:bCs/>
                <w:color w:val="000000"/>
                <w:kern w:val="0"/>
                <w:sz w:val="24"/>
                <w:lang w:bidi="ar"/>
              </w:rPr>
              <w:t>第1组数量</w:t>
            </w:r>
          </w:p>
        </w:tc>
        <w:tc>
          <w:tcPr>
            <w:tcW w:w="1465" w:type="pct"/>
          </w:tcPr>
          <w:p>
            <w:pPr>
              <w:spacing w:line="560" w:lineRule="exact"/>
              <w:jc w:val="center"/>
              <w:rPr>
                <w:rFonts w:cs="仿宋_GB2312"/>
                <w:b/>
                <w:bCs/>
                <w:color w:val="000000"/>
                <w:kern w:val="0"/>
                <w:sz w:val="24"/>
                <w:lang w:bidi="ar"/>
              </w:rPr>
            </w:pPr>
            <w:r>
              <w:rPr>
                <w:rFonts w:hint="eastAsia" w:cs="仿宋_GB2312"/>
                <w:b/>
                <w:bCs/>
                <w:color w:val="000000"/>
                <w:kern w:val="0"/>
                <w:sz w:val="24"/>
                <w:lang w:bidi="ar"/>
              </w:rPr>
              <w:t>第2组数量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498" w:type="pct"/>
          </w:tcPr>
          <w:p>
            <w:pPr>
              <w:spacing w:line="560" w:lineRule="exact"/>
              <w:jc w:val="center"/>
              <w:rPr>
                <w:rFonts w:cs="仿宋_GB2312"/>
                <w:color w:val="000000"/>
                <w:kern w:val="0"/>
                <w:sz w:val="24"/>
              </w:rPr>
            </w:pPr>
            <w:r>
              <w:rPr>
                <w:rFonts w:hint="eastAsia" w:cs="仿宋_GB2312"/>
                <w:color w:val="000000"/>
                <w:kern w:val="0"/>
                <w:sz w:val="24"/>
              </w:rPr>
              <w:t>1</w:t>
            </w:r>
          </w:p>
        </w:tc>
        <w:tc>
          <w:tcPr>
            <w:tcW w:w="1411" w:type="pct"/>
          </w:tcPr>
          <w:p>
            <w:pPr>
              <w:spacing w:line="560" w:lineRule="exact"/>
              <w:jc w:val="center"/>
              <w:rPr>
                <w:rFonts w:cs="仿宋_GB2312"/>
                <w:color w:val="000000"/>
                <w:kern w:val="0"/>
                <w:sz w:val="24"/>
              </w:rPr>
            </w:pPr>
            <w:r>
              <w:rPr>
                <w:rFonts w:hint="eastAsia" w:cs="仿宋_GB2312"/>
                <w:color w:val="000000"/>
                <w:kern w:val="0"/>
                <w:sz w:val="24"/>
              </w:rPr>
              <w:t>帐篷</w:t>
            </w:r>
          </w:p>
        </w:tc>
        <w:tc>
          <w:tcPr>
            <w:tcW w:w="1624" w:type="pct"/>
          </w:tcPr>
          <w:p>
            <w:pPr>
              <w:spacing w:line="560" w:lineRule="exact"/>
              <w:jc w:val="center"/>
              <w:rPr>
                <w:rFonts w:cs="仿宋_GB2312"/>
                <w:color w:val="000000"/>
                <w:kern w:val="0"/>
                <w:sz w:val="24"/>
              </w:rPr>
            </w:pPr>
            <w:r>
              <w:rPr>
                <w:rFonts w:hint="eastAsia" w:cs="仿宋_GB2312"/>
                <w:color w:val="000000"/>
                <w:kern w:val="0"/>
                <w:sz w:val="24"/>
              </w:rPr>
              <w:t>2件</w:t>
            </w:r>
          </w:p>
        </w:tc>
        <w:tc>
          <w:tcPr>
            <w:tcW w:w="1465" w:type="pct"/>
          </w:tcPr>
          <w:p>
            <w:pPr>
              <w:spacing w:line="560" w:lineRule="exact"/>
              <w:jc w:val="center"/>
              <w:rPr>
                <w:rFonts w:cs="仿宋_GB2312"/>
                <w:color w:val="000000"/>
                <w:kern w:val="0"/>
                <w:sz w:val="24"/>
              </w:rPr>
            </w:pPr>
            <w:r>
              <w:rPr>
                <w:rFonts w:hint="eastAsia" w:cs="仿宋_GB2312"/>
                <w:color w:val="000000"/>
                <w:kern w:val="0"/>
                <w:sz w:val="24"/>
              </w:rPr>
              <w:t>1件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000" w:type="pct"/>
            <w:gridSpan w:val="4"/>
          </w:tcPr>
          <w:p>
            <w:pPr>
              <w:spacing w:line="560" w:lineRule="exact"/>
              <w:jc w:val="left"/>
              <w:rPr>
                <w:rFonts w:cs="仿宋_GB2312"/>
                <w:color w:val="000000"/>
                <w:kern w:val="0"/>
                <w:sz w:val="24"/>
              </w:rPr>
            </w:pPr>
            <w:r>
              <w:rPr>
                <w:rFonts w:hint="eastAsia" w:cs="仿宋_GB2312"/>
                <w:color w:val="000000"/>
                <w:kern w:val="0"/>
                <w:sz w:val="24"/>
              </w:rPr>
              <w:t>1.如样品过小，或花型复杂，可适当增加抽样数量，但不得超过检验、复检的合理需要。</w:t>
            </w:r>
          </w:p>
          <w:p>
            <w:pPr>
              <w:spacing w:line="560" w:lineRule="exact"/>
              <w:jc w:val="left"/>
              <w:rPr>
                <w:rFonts w:cs="仿宋_GB2312"/>
                <w:color w:val="000000"/>
                <w:kern w:val="0"/>
                <w:sz w:val="24"/>
              </w:rPr>
            </w:pPr>
            <w:r>
              <w:rPr>
                <w:rFonts w:hint="eastAsia" w:cs="仿宋_GB2312"/>
                <w:color w:val="000000"/>
                <w:kern w:val="0"/>
                <w:sz w:val="24"/>
              </w:rPr>
              <w:t>2.抽取同一款式（货/款号）、同一花型和同一颜色的产品。</w:t>
            </w:r>
          </w:p>
        </w:tc>
      </w:tr>
    </w:tbl>
    <w:p>
      <w:pPr>
        <w:spacing w:line="560" w:lineRule="exact"/>
        <w:ind w:firstLine="640" w:firstLineChars="200"/>
        <w:rPr>
          <w:rFonts w:eastAsia="黑体"/>
          <w:color w:val="000000"/>
          <w:szCs w:val="32"/>
        </w:rPr>
      </w:pPr>
      <w:r>
        <w:rPr>
          <w:rFonts w:hint="default" w:ascii="Times New Roman" w:hAnsi="Times New Roman" w:eastAsia="仿宋_GB2312"/>
          <w:sz w:val="32"/>
          <w:szCs w:val="32"/>
        </w:rPr>
        <w:t>跟踪抽查可以根据不合格项目情况适当减少抽样量（至少包括2个抽样量：1个是检验用，1个是备用），且须经组织监督抽查（或印发监督抽查方案）的市场监管部门同意；跟踪抽查的抽样量须同时符合如下要求：1.原则上跟踪抽查抽样量与上述常规抽查抽样量一致；2.抽样量以库存量为准（且不得多于本细则要求的常规抽查抽样量），且符合“国内待销产品”等要求。</w:t>
      </w:r>
    </w:p>
    <w:p>
      <w:pPr>
        <w:spacing w:line="560" w:lineRule="exact"/>
        <w:ind w:firstLine="640" w:firstLineChars="200"/>
        <w:rPr>
          <w:color w:val="000000"/>
          <w:szCs w:val="32"/>
        </w:rPr>
      </w:pPr>
      <w:r>
        <w:rPr>
          <w:rFonts w:eastAsia="黑体"/>
          <w:color w:val="000000"/>
          <w:szCs w:val="32"/>
        </w:rPr>
        <w:t>2 检验依据</w:t>
      </w: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21"/>
        <w:gridCol w:w="3327"/>
        <w:gridCol w:w="4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blHeader/>
        </w:trPr>
        <w:tc>
          <w:tcPr>
            <w:tcW w:w="554" w:type="pct"/>
            <w:vAlign w:val="center"/>
          </w:tcPr>
          <w:p>
            <w:pPr>
              <w:spacing w:line="560" w:lineRule="exact"/>
              <w:jc w:val="center"/>
              <w:rPr>
                <w:rFonts w:cs="仿宋_GB2312"/>
                <w:b/>
                <w:bCs/>
                <w:color w:val="000000"/>
                <w:kern w:val="0"/>
                <w:sz w:val="24"/>
                <w:lang w:bidi="ar"/>
              </w:rPr>
            </w:pPr>
            <w:r>
              <w:rPr>
                <w:rFonts w:hint="eastAsia" w:cs="仿宋_GB2312"/>
                <w:b/>
                <w:bCs/>
                <w:color w:val="000000"/>
                <w:kern w:val="0"/>
                <w:sz w:val="24"/>
                <w:lang w:bidi="ar"/>
              </w:rPr>
              <w:t>序号</w:t>
            </w:r>
          </w:p>
        </w:tc>
        <w:tc>
          <w:tcPr>
            <w:tcW w:w="2001" w:type="pct"/>
            <w:vAlign w:val="center"/>
          </w:tcPr>
          <w:p>
            <w:pPr>
              <w:spacing w:line="560" w:lineRule="exact"/>
              <w:jc w:val="center"/>
              <w:rPr>
                <w:rFonts w:cs="仿宋_GB2312"/>
                <w:b/>
                <w:bCs/>
                <w:color w:val="000000"/>
                <w:kern w:val="0"/>
                <w:sz w:val="24"/>
                <w:lang w:bidi="ar"/>
              </w:rPr>
            </w:pPr>
            <w:r>
              <w:rPr>
                <w:rFonts w:hint="eastAsia" w:cs="仿宋_GB2312"/>
                <w:b/>
                <w:bCs/>
                <w:color w:val="000000"/>
                <w:kern w:val="0"/>
                <w:sz w:val="24"/>
                <w:lang w:bidi="ar"/>
              </w:rPr>
              <w:t>检验项目</w:t>
            </w:r>
          </w:p>
        </w:tc>
        <w:tc>
          <w:tcPr>
            <w:tcW w:w="2443" w:type="pct"/>
            <w:vAlign w:val="center"/>
          </w:tcPr>
          <w:p>
            <w:pPr>
              <w:spacing w:line="560" w:lineRule="exact"/>
              <w:jc w:val="center"/>
              <w:rPr>
                <w:rFonts w:cs="仿宋_GB2312"/>
                <w:b/>
                <w:bCs/>
                <w:color w:val="000000"/>
                <w:kern w:val="0"/>
                <w:sz w:val="24"/>
                <w:lang w:bidi="ar"/>
              </w:rPr>
            </w:pPr>
            <w:r>
              <w:rPr>
                <w:rFonts w:hint="eastAsia" w:cs="仿宋_GB2312"/>
                <w:b/>
                <w:bCs/>
                <w:color w:val="000000"/>
                <w:kern w:val="0"/>
                <w:sz w:val="24"/>
                <w:lang w:bidi="ar"/>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撕裂强度/抗撕裂力</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ISO 13937-2:2000</w:t>
            </w:r>
          </w:p>
          <w:p>
            <w:pPr>
              <w:adjustRightInd w:val="0"/>
              <w:snapToGrid w:val="0"/>
              <w:spacing w:line="360" w:lineRule="exact"/>
              <w:jc w:val="center"/>
              <w:rPr>
                <w:kern w:val="0"/>
                <w:sz w:val="24"/>
                <w:lang w:eastAsia="en-US"/>
              </w:rPr>
            </w:pPr>
            <w:r>
              <w:rPr>
                <w:rFonts w:hint="eastAsia"/>
                <w:kern w:val="0"/>
                <w:sz w:val="24"/>
                <w:lang w:eastAsia="en-US"/>
              </w:rPr>
              <w:t>GB/T3917.2-2009</w:t>
            </w:r>
          </w:p>
          <w:p>
            <w:pPr>
              <w:adjustRightInd w:val="0"/>
              <w:snapToGrid w:val="0"/>
              <w:spacing w:line="360" w:lineRule="exact"/>
              <w:jc w:val="center"/>
              <w:rPr>
                <w:kern w:val="0"/>
                <w:sz w:val="24"/>
                <w:lang w:eastAsia="en-US"/>
              </w:rPr>
            </w:pPr>
            <w:r>
              <w:rPr>
                <w:rFonts w:hint="eastAsia"/>
                <w:kern w:val="0"/>
                <w:sz w:val="24"/>
                <w:lang w:eastAsia="en-US"/>
              </w:rPr>
              <w:t>ISO 9073-4:2021</w:t>
            </w:r>
          </w:p>
          <w:p>
            <w:pPr>
              <w:adjustRightInd w:val="0"/>
              <w:snapToGrid w:val="0"/>
              <w:spacing w:line="360" w:lineRule="exact"/>
              <w:jc w:val="center"/>
              <w:rPr>
                <w:kern w:val="0"/>
                <w:sz w:val="24"/>
                <w:lang w:eastAsia="en-US"/>
              </w:rPr>
            </w:pPr>
            <w:r>
              <w:rPr>
                <w:rFonts w:hint="eastAsia"/>
                <w:kern w:val="0"/>
                <w:sz w:val="24"/>
                <w:lang w:eastAsia="en-US"/>
              </w:rPr>
              <w:t>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2</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拉伸强度/抗拉强度/断裂强力</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ISO 13934-1:2013</w:t>
            </w:r>
          </w:p>
          <w:p>
            <w:pPr>
              <w:adjustRightInd w:val="0"/>
              <w:snapToGrid w:val="0"/>
              <w:spacing w:line="360" w:lineRule="exact"/>
              <w:jc w:val="center"/>
              <w:rPr>
                <w:kern w:val="0"/>
                <w:sz w:val="24"/>
                <w:lang w:eastAsia="en-US"/>
              </w:rPr>
            </w:pPr>
            <w:r>
              <w:rPr>
                <w:rFonts w:hint="eastAsia"/>
                <w:kern w:val="0"/>
                <w:sz w:val="24"/>
                <w:lang w:eastAsia="en-US"/>
              </w:rPr>
              <w:t>ISO 13934-2:2014</w:t>
            </w:r>
          </w:p>
          <w:p>
            <w:pPr>
              <w:adjustRightInd w:val="0"/>
              <w:snapToGrid w:val="0"/>
              <w:spacing w:line="360" w:lineRule="exact"/>
              <w:jc w:val="center"/>
              <w:rPr>
                <w:kern w:val="0"/>
                <w:sz w:val="24"/>
                <w:lang w:eastAsia="en-US"/>
              </w:rPr>
            </w:pPr>
            <w:r>
              <w:rPr>
                <w:rFonts w:hint="eastAsia"/>
                <w:kern w:val="0"/>
                <w:sz w:val="24"/>
                <w:lang w:eastAsia="en-US"/>
              </w:rPr>
              <w:t>GB/T3923.1-2013</w:t>
            </w:r>
          </w:p>
          <w:p>
            <w:pPr>
              <w:adjustRightInd w:val="0"/>
              <w:snapToGrid w:val="0"/>
              <w:spacing w:line="360" w:lineRule="exact"/>
              <w:jc w:val="center"/>
              <w:rPr>
                <w:kern w:val="0"/>
                <w:sz w:val="24"/>
                <w:lang w:eastAsia="en-US"/>
              </w:rPr>
            </w:pPr>
            <w:r>
              <w:rPr>
                <w:rFonts w:hint="eastAsia"/>
                <w:kern w:val="0"/>
                <w:sz w:val="24"/>
                <w:lang w:eastAsia="en-US"/>
              </w:rPr>
              <w:t>GB/T1040.3-2006</w:t>
            </w:r>
          </w:p>
          <w:p>
            <w:pPr>
              <w:adjustRightInd w:val="0"/>
              <w:snapToGrid w:val="0"/>
              <w:spacing w:line="360" w:lineRule="exact"/>
              <w:jc w:val="center"/>
              <w:rPr>
                <w:kern w:val="0"/>
                <w:sz w:val="24"/>
                <w:lang w:eastAsia="en-US"/>
              </w:rPr>
            </w:pPr>
            <w:r>
              <w:rPr>
                <w:rFonts w:hint="eastAsia"/>
                <w:kern w:val="0"/>
                <w:sz w:val="24"/>
                <w:lang w:eastAsia="en-US"/>
              </w:rPr>
              <w:t>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3</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抗渗水性/防水性能</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ISO 811:2018 GB/T4744-2013</w:t>
            </w:r>
          </w:p>
          <w:p>
            <w:pPr>
              <w:adjustRightInd w:val="0"/>
              <w:snapToGrid w:val="0"/>
              <w:spacing w:line="360" w:lineRule="exact"/>
              <w:jc w:val="center"/>
              <w:rPr>
                <w:kern w:val="0"/>
                <w:sz w:val="24"/>
                <w:lang w:eastAsia="en-US"/>
              </w:rPr>
            </w:pPr>
            <w:r>
              <w:rPr>
                <w:rFonts w:hint="eastAsia"/>
                <w:kern w:val="0"/>
                <w:sz w:val="24"/>
                <w:lang w:eastAsia="en-US"/>
              </w:rPr>
              <w:t>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4</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色牢度/耐摩擦色牢度</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ISO 105-X12:2016</w:t>
            </w:r>
          </w:p>
          <w:p>
            <w:pPr>
              <w:adjustRightInd w:val="0"/>
              <w:snapToGrid w:val="0"/>
              <w:spacing w:line="360" w:lineRule="exact"/>
              <w:jc w:val="center"/>
              <w:rPr>
                <w:kern w:val="0"/>
                <w:sz w:val="24"/>
                <w:lang w:eastAsia="en-US"/>
              </w:rPr>
            </w:pPr>
            <w:r>
              <w:rPr>
                <w:rFonts w:hint="eastAsia"/>
                <w:kern w:val="0"/>
                <w:sz w:val="24"/>
                <w:lang w:eastAsia="en-US"/>
              </w:rPr>
              <w:t>GB/T 3920-2008</w:t>
            </w:r>
          </w:p>
          <w:p>
            <w:pPr>
              <w:adjustRightInd w:val="0"/>
              <w:snapToGrid w:val="0"/>
              <w:spacing w:line="360" w:lineRule="exact"/>
              <w:jc w:val="center"/>
              <w:rPr>
                <w:kern w:val="0"/>
                <w:sz w:val="24"/>
                <w:lang w:eastAsia="en-US"/>
              </w:rPr>
            </w:pPr>
            <w:r>
              <w:rPr>
                <w:rFonts w:hint="eastAsia"/>
                <w:kern w:val="0"/>
                <w:sz w:val="24"/>
                <w:lang w:eastAsia="en-US"/>
              </w:rPr>
              <w:t>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5</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刺穿阻力</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EN 388:2016+A1:2018 6.5</w:t>
            </w:r>
          </w:p>
          <w:p>
            <w:pPr>
              <w:adjustRightInd w:val="0"/>
              <w:snapToGrid w:val="0"/>
              <w:spacing w:line="360" w:lineRule="exact"/>
              <w:jc w:val="center"/>
              <w:rPr>
                <w:kern w:val="0"/>
                <w:sz w:val="24"/>
                <w:lang w:eastAsia="en-US"/>
              </w:rPr>
            </w:pPr>
            <w:r>
              <w:rPr>
                <w:rFonts w:hint="eastAsia"/>
                <w:kern w:val="0"/>
                <w:sz w:val="24"/>
                <w:lang w:eastAsia="en-US"/>
              </w:rPr>
              <w:t>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6</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尺寸稳定性</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ISO 7771:1985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7</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地面紧固件</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8</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防护措施</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9</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通风</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10</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帐篷出口</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11</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防雨</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12</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防蚊虫</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13</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帐篷支架</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14</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边和角</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15</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管状部件、孔和槽</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16</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剪切和挤压点</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17</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拉链</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18</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拉链的平拉强力</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19</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连续往复运动条件下拉链的性能</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54" w:type="pct"/>
            <w:vAlign w:val="center"/>
          </w:tcPr>
          <w:p>
            <w:pPr>
              <w:spacing w:line="560" w:lineRule="exact"/>
              <w:jc w:val="center"/>
              <w:rPr>
                <w:rFonts w:cs="仿宋_GB2312"/>
                <w:color w:val="000000"/>
                <w:kern w:val="0"/>
                <w:sz w:val="24"/>
              </w:rPr>
            </w:pPr>
            <w:r>
              <w:rPr>
                <w:rFonts w:hint="eastAsia" w:cs="仿宋_GB2312"/>
                <w:color w:val="000000"/>
                <w:kern w:val="0"/>
                <w:sz w:val="24"/>
              </w:rPr>
              <w:t>20</w:t>
            </w:r>
          </w:p>
        </w:tc>
        <w:tc>
          <w:tcPr>
            <w:tcW w:w="2001" w:type="pct"/>
            <w:vAlign w:val="center"/>
          </w:tcPr>
          <w:p>
            <w:pPr>
              <w:spacing w:line="560" w:lineRule="exact"/>
              <w:jc w:val="center"/>
              <w:rPr>
                <w:rFonts w:cs="仿宋_GB2312"/>
                <w:color w:val="000000"/>
                <w:kern w:val="0"/>
                <w:sz w:val="24"/>
              </w:rPr>
            </w:pPr>
            <w:r>
              <w:rPr>
                <w:rFonts w:hint="eastAsia" w:cs="仿宋_GB2312"/>
                <w:color w:val="000000"/>
                <w:kern w:val="0"/>
                <w:sz w:val="24"/>
              </w:rPr>
              <w:t>拉绳系统的拉伸力</w:t>
            </w:r>
          </w:p>
        </w:tc>
        <w:tc>
          <w:tcPr>
            <w:tcW w:w="2443" w:type="pct"/>
            <w:vAlign w:val="center"/>
          </w:tcPr>
          <w:p>
            <w:pPr>
              <w:adjustRightInd w:val="0"/>
              <w:snapToGrid w:val="0"/>
              <w:spacing w:line="360" w:lineRule="exact"/>
              <w:jc w:val="center"/>
              <w:rPr>
                <w:kern w:val="0"/>
                <w:sz w:val="24"/>
                <w:lang w:eastAsia="en-US"/>
              </w:rPr>
            </w:pPr>
            <w:r>
              <w:rPr>
                <w:rFonts w:hint="eastAsia"/>
                <w:kern w:val="0"/>
                <w:sz w:val="24"/>
                <w:lang w:eastAsia="en-US"/>
              </w:rPr>
              <w:t>GB/Z 27735-2022 相应产品标准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000" w:type="pct"/>
            <w:gridSpan w:val="3"/>
            <w:vAlign w:val="center"/>
          </w:tcPr>
          <w:p>
            <w:pPr>
              <w:spacing w:line="560" w:lineRule="exact"/>
              <w:jc w:val="left"/>
              <w:rPr>
                <w:rFonts w:cs="仿宋_GB2312"/>
                <w:color w:val="000000"/>
                <w:kern w:val="0"/>
                <w:sz w:val="24"/>
              </w:rPr>
            </w:pPr>
            <w:r>
              <w:rPr>
                <w:rFonts w:hint="eastAsia" w:cs="仿宋_GB2312"/>
                <w:color w:val="000000"/>
                <w:kern w:val="0"/>
                <w:sz w:val="24"/>
              </w:rPr>
              <w:t>注：只检测产品相应标准中有考核要求的项目。</w:t>
            </w:r>
          </w:p>
        </w:tc>
      </w:tr>
    </w:tbl>
    <w:p>
      <w:pPr>
        <w:spacing w:line="560" w:lineRule="exact"/>
        <w:ind w:firstLine="640" w:firstLineChars="200"/>
        <w:rPr>
          <w:rFonts w:cs="仿宋_GB2312"/>
          <w:color w:val="000000"/>
          <w:szCs w:val="40"/>
        </w:rPr>
      </w:pPr>
      <w:r>
        <w:rPr>
          <w:rFonts w:cs="仿宋_GB2312"/>
          <w:color w:val="000000"/>
          <w:szCs w:val="40"/>
        </w:rPr>
        <w:t>注：执行企业标准、团体标准、地方标准的产品，检验项目参照上述内容执行。</w:t>
      </w:r>
    </w:p>
    <w:p>
      <w:pPr>
        <w:spacing w:line="560" w:lineRule="exact"/>
        <w:ind w:firstLine="640" w:firstLineChars="200"/>
        <w:rPr>
          <w:rFonts w:cs="仿宋_GB2312"/>
          <w:color w:val="000000"/>
          <w:szCs w:val="40"/>
        </w:rPr>
      </w:pPr>
      <w:r>
        <w:rPr>
          <w:rFonts w:hint="default" w:ascii="Times New Roman" w:hAnsi="Times New Roman" w:eastAsia="仿宋_GB2312" w:cs="Times New Roman"/>
          <w:sz w:val="32"/>
          <w:szCs w:val="32"/>
        </w:rPr>
        <w:t>跟踪抽查的检验项目以不合格项目为主；跟踪抽查的检验项目如少于上述检验项目，须经组织监督抽查（或印发监督抽查方案）的市场监管部门同意；跟踪抽查的检验项目须同时符合如下要求：1.检验项目原则上与上述常规抽查的检验项目一致；2.检验项目的数量必须与抽样量相匹配（与检验项目有关的样品量不可控、不可预测的除外）；3.不合格项目以外的其他检验项目必须优先选择‘（1）涉及人体健康（人身财产安全）、（2）存在前后检验关系、（3）被跟踪抽查产品检出值更接近标准值’的项目（（1）优先于（2），（2）优先于（3））；4.具体检验项目须写入“抽样单”备注处；5.检验人员可以根据实际检验情况调减不合格项目以外的其他检验项目（原则上按上述（3）、（2）、（1）的顺序调减（部分拟调减的项目已检验的除外），须经组织监督抽查（或印发监督抽查方案）的市场监管部门同意）。</w:t>
      </w:r>
      <w:bookmarkStart w:id="0" w:name="_GoBack"/>
      <w:bookmarkEnd w:id="0"/>
    </w:p>
    <w:p>
      <w:pPr>
        <w:spacing w:line="560" w:lineRule="exact"/>
        <w:ind w:firstLine="640" w:firstLineChars="200"/>
        <w:rPr>
          <w:rFonts w:cs="仿宋_GB2312"/>
          <w:color w:val="000000"/>
          <w:szCs w:val="40"/>
        </w:rPr>
      </w:pPr>
      <w:r>
        <w:rPr>
          <w:rFonts w:cs="仿宋_GB2312"/>
          <w:color w:val="000000"/>
          <w:szCs w:val="40"/>
        </w:rPr>
        <w:t>凡是注日期的文件，其随后所有的修改单（不包括勘误的内容）或修订版不适用于本细则。凡是不注日期的文件，其最新版本适用于本细则。</w:t>
      </w:r>
    </w:p>
    <w:p>
      <w:pPr>
        <w:spacing w:line="560" w:lineRule="exact"/>
        <w:ind w:firstLine="640" w:firstLineChars="200"/>
        <w:rPr>
          <w:b/>
          <w:bCs/>
          <w:color w:val="000000"/>
          <w:spacing w:val="19"/>
          <w:szCs w:val="32"/>
        </w:rPr>
      </w:pPr>
      <w:r>
        <w:rPr>
          <w:rFonts w:eastAsia="黑体"/>
          <w:color w:val="000000"/>
          <w:szCs w:val="32"/>
        </w:rPr>
        <w:t>3 判定规则</w:t>
      </w:r>
    </w:p>
    <w:p>
      <w:pPr>
        <w:spacing w:line="560" w:lineRule="exact"/>
        <w:ind w:firstLine="640" w:firstLineChars="200"/>
        <w:rPr>
          <w:rFonts w:eastAsia="楷体_GB2312" w:cs="楷体_GB2312"/>
          <w:color w:val="000000"/>
          <w:szCs w:val="40"/>
        </w:rPr>
      </w:pPr>
      <w:r>
        <w:rPr>
          <w:rFonts w:eastAsia="楷体_GB2312" w:cs="楷体_GB2312"/>
          <w:color w:val="000000"/>
          <w:szCs w:val="40"/>
        </w:rPr>
        <w:t>3.1</w:t>
      </w:r>
      <w:r>
        <w:rPr>
          <w:rFonts w:hint="eastAsia" w:eastAsia="楷体_GB2312" w:cs="楷体_GB2312"/>
          <w:color w:val="000000"/>
          <w:szCs w:val="40"/>
        </w:rPr>
        <w:t xml:space="preserve"> </w:t>
      </w:r>
      <w:r>
        <w:rPr>
          <w:rFonts w:eastAsia="楷体_GB2312" w:cs="楷体_GB2312"/>
          <w:color w:val="000000"/>
          <w:szCs w:val="40"/>
        </w:rPr>
        <w:t>依据标准</w:t>
      </w:r>
    </w:p>
    <w:p>
      <w:pPr>
        <w:spacing w:line="560" w:lineRule="exact"/>
        <w:ind w:firstLine="640" w:firstLineChars="200"/>
        <w:rPr>
          <w:rFonts w:cs="仿宋_GB2312"/>
          <w:color w:val="000000"/>
          <w:szCs w:val="40"/>
        </w:rPr>
      </w:pPr>
      <w:r>
        <w:rPr>
          <w:rFonts w:cs="仿宋_GB2312"/>
          <w:color w:val="000000"/>
          <w:szCs w:val="40"/>
        </w:rPr>
        <w:t>GB/Z 27735-2022《野营帐篷》</w:t>
      </w:r>
    </w:p>
    <w:p>
      <w:pPr>
        <w:spacing w:line="560" w:lineRule="exact"/>
        <w:ind w:firstLine="640" w:firstLineChars="200"/>
        <w:rPr>
          <w:rFonts w:cs="仿宋_GB2312"/>
          <w:color w:val="000000"/>
          <w:szCs w:val="40"/>
        </w:rPr>
      </w:pPr>
      <w:r>
        <w:rPr>
          <w:rFonts w:cs="仿宋_GB2312"/>
          <w:color w:val="000000"/>
          <w:szCs w:val="40"/>
        </w:rPr>
        <w:t>现行有效的企业标准、团体标准、地方标准及产品明示质量要求</w:t>
      </w:r>
    </w:p>
    <w:p>
      <w:pPr>
        <w:spacing w:line="560" w:lineRule="exact"/>
        <w:ind w:firstLine="640" w:firstLineChars="200"/>
        <w:rPr>
          <w:rFonts w:eastAsia="楷体_GB2312" w:cs="楷体_GB2312"/>
          <w:color w:val="000000"/>
          <w:szCs w:val="40"/>
        </w:rPr>
      </w:pPr>
      <w:r>
        <w:rPr>
          <w:rFonts w:eastAsia="楷体_GB2312" w:cs="楷体_GB2312"/>
          <w:color w:val="000000"/>
          <w:szCs w:val="40"/>
        </w:rPr>
        <w:t>3.2</w:t>
      </w:r>
      <w:r>
        <w:rPr>
          <w:rFonts w:hint="eastAsia" w:eastAsia="楷体_GB2312" w:cs="楷体_GB2312"/>
          <w:color w:val="000000"/>
          <w:szCs w:val="40"/>
        </w:rPr>
        <w:t xml:space="preserve"> </w:t>
      </w:r>
      <w:r>
        <w:rPr>
          <w:rFonts w:eastAsia="楷体_GB2312" w:cs="楷体_GB2312"/>
          <w:color w:val="000000"/>
          <w:szCs w:val="40"/>
        </w:rPr>
        <w:t>判定原则</w:t>
      </w:r>
    </w:p>
    <w:p>
      <w:pPr>
        <w:spacing w:line="560" w:lineRule="exact"/>
        <w:ind w:firstLine="640" w:firstLineChars="200"/>
        <w:rPr>
          <w:rFonts w:hint="eastAsia" w:cs="仿宋_GB2312"/>
          <w:color w:val="000000"/>
          <w:szCs w:val="40"/>
        </w:rPr>
      </w:pPr>
      <w:r>
        <w:rPr>
          <w:rFonts w:hint="eastAsia" w:cs="仿宋_GB2312"/>
          <w:color w:val="000000"/>
          <w:szCs w:val="40"/>
        </w:rPr>
        <w:t>经检验，检验项目全部合格，判定为被抽查产品所检项目未发现不合格；检验项目中任一项或一项以上不合格，判定为被抽查产品不合格。</w:t>
      </w:r>
    </w:p>
    <w:p>
      <w:pPr>
        <w:spacing w:line="560" w:lineRule="exact"/>
        <w:ind w:firstLine="640" w:firstLineChars="200"/>
        <w:rPr>
          <w:rFonts w:hint="eastAsia" w:cs="仿宋_GB2312"/>
          <w:color w:val="000000"/>
          <w:szCs w:val="40"/>
        </w:rPr>
      </w:pPr>
      <w:r>
        <w:rPr>
          <w:rFonts w:hint="eastAsia" w:cs="仿宋_GB2312"/>
          <w:color w:val="000000"/>
          <w:szCs w:val="40"/>
        </w:rPr>
        <w:t>若被检产品明示的质量要求高于本细则中检验项目依据的标准要求时，应按被检产品明示的质量要求判定。</w:t>
      </w:r>
    </w:p>
    <w:p>
      <w:pPr>
        <w:spacing w:line="560" w:lineRule="exact"/>
        <w:ind w:firstLine="640" w:firstLineChars="200"/>
        <w:rPr>
          <w:rFonts w:hint="eastAsia" w:cs="仿宋_GB2312"/>
          <w:color w:val="000000"/>
          <w:szCs w:val="40"/>
        </w:rPr>
      </w:pPr>
      <w:r>
        <w:rPr>
          <w:rFonts w:hint="eastAsia" w:cs="仿宋_GB2312"/>
          <w:color w:val="000000"/>
          <w:szCs w:val="40"/>
        </w:rPr>
        <w:t>若被检产品明示的质量要求低于本细则中检验项目依据的强制性标准要求时，应按照强制性标准要求判定。</w:t>
      </w:r>
    </w:p>
    <w:p>
      <w:pPr>
        <w:spacing w:line="560" w:lineRule="exact"/>
        <w:ind w:firstLine="640" w:firstLineChars="200"/>
        <w:rPr>
          <w:rFonts w:hint="eastAsia" w:cs="仿宋_GB2312"/>
          <w:color w:val="000000"/>
          <w:szCs w:val="40"/>
        </w:rPr>
      </w:pPr>
      <w:r>
        <w:rPr>
          <w:rFonts w:hint="eastAsia" w:cs="仿宋_GB2312"/>
          <w:color w:val="000000"/>
          <w:szCs w:val="40"/>
        </w:rPr>
        <w:t>若被检产品明示的质量要求低于或包含本细则中检验项目依据的推荐性标准要求时，应以被检产品明示的质量要求判定。</w:t>
      </w:r>
    </w:p>
    <w:p>
      <w:pPr>
        <w:spacing w:line="560" w:lineRule="exact"/>
        <w:ind w:firstLine="640" w:firstLineChars="200"/>
        <w:rPr>
          <w:rFonts w:hint="eastAsia" w:cs="仿宋_GB2312"/>
          <w:color w:val="000000"/>
          <w:szCs w:val="40"/>
        </w:rPr>
      </w:pPr>
      <w:r>
        <w:rPr>
          <w:rFonts w:hint="eastAsia" w:cs="仿宋_GB2312"/>
          <w:color w:val="000000"/>
          <w:szCs w:val="40"/>
        </w:rPr>
        <w:t>若被检产品明示的质量要求缺少本细则中检验项目依据的强制性标准要求时，应按照强制性标准要求判定。</w:t>
      </w:r>
    </w:p>
    <w:p>
      <w:pPr>
        <w:spacing w:line="560" w:lineRule="exact"/>
        <w:ind w:firstLine="640" w:firstLineChars="200"/>
        <w:rPr>
          <w:rFonts w:cs="仿宋_GB2312"/>
          <w:color w:val="000000"/>
          <w:szCs w:val="40"/>
        </w:rPr>
      </w:pPr>
      <w:r>
        <w:rPr>
          <w:rFonts w:hint="eastAsia" w:cs="仿宋_GB2312"/>
          <w:color w:val="000000"/>
          <w:szCs w:val="40"/>
        </w:rPr>
        <w:t>若被检产品明示的质量要求缺少本细则中检验项目依据的推荐性标准要求时，该项目不参与判定。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40"/>
    <w:rsid w:val="0065087B"/>
    <w:rsid w:val="00BC6E40"/>
    <w:rsid w:val="214770F8"/>
    <w:rsid w:val="40D064D2"/>
    <w:rsid w:val="5B212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table" w:customStyle="1" w:styleId="5">
    <w:name w:val="Table Normal"/>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Pages>
  <Words>229</Words>
  <Characters>1311</Characters>
  <Lines>10</Lines>
  <Paragraphs>3</Paragraphs>
  <TotalTime>0</TotalTime>
  <ScaleCrop>false</ScaleCrop>
  <LinksUpToDate>false</LinksUpToDate>
  <CharactersWithSpaces>1537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2025-06-27T07:07:00Z</dcterms:created>
  <dc:creator>GQT</dc:creator>
  <cp:lastModifiedBy>YWB</cp:lastModifiedBy>
  <dcterms:modified xsi:type="dcterms:W3CDTF">2026-05-14T07:52:35Z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015DEE767DFF4855A06D923F906F21E7</vt:lpwstr>
  </property>
</Properties>
</file>