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96AF6F">
      <w:pPr>
        <w:snapToGrid w:val="0"/>
        <w:spacing w:line="56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东莞市校服产品质量监督抽查实施细则</w:t>
      </w:r>
    </w:p>
    <w:p w14:paraId="17D4DF49">
      <w:pPr>
        <w:spacing w:line="560" w:lineRule="exact"/>
        <w:jc w:val="center"/>
        <w:rPr>
          <w:rFonts w:eastAsia="楷体_GB2312"/>
          <w:sz w:val="32"/>
          <w:szCs w:val="32"/>
        </w:rPr>
      </w:pPr>
      <w:r>
        <w:rPr>
          <w:rFonts w:hint="eastAsia" w:eastAsia="楷体_GB2312"/>
          <w:sz w:val="32"/>
          <w:szCs w:val="32"/>
        </w:rPr>
        <w:t>（2026年</w:t>
      </w:r>
      <w:r>
        <w:rPr>
          <w:rFonts w:hint="eastAsia" w:eastAsia="楷体_GB2312"/>
          <w:sz w:val="32"/>
          <w:szCs w:val="32"/>
          <w:lang w:val="en-US" w:eastAsia="zh-CN"/>
        </w:rPr>
        <w:t>第二</w:t>
      </w:r>
      <w:r>
        <w:rPr>
          <w:rFonts w:hint="eastAsia" w:eastAsia="楷体_GB2312"/>
          <w:sz w:val="32"/>
          <w:szCs w:val="32"/>
        </w:rPr>
        <w:t>版）</w:t>
      </w:r>
    </w:p>
    <w:p w14:paraId="5C86C291">
      <w:pPr>
        <w:snapToGrid w:val="0"/>
        <w:spacing w:line="560" w:lineRule="exact"/>
        <w:ind w:firstLine="359" w:firstLineChars="171"/>
        <w:rPr>
          <w:szCs w:val="21"/>
        </w:rPr>
      </w:pPr>
    </w:p>
    <w:p w14:paraId="38E326B8">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1 抽样方法</w:t>
      </w:r>
    </w:p>
    <w:p w14:paraId="7D5125D9">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以随机抽样的方式在被抽样生产者、销售者的待销产品中抽取。</w:t>
      </w:r>
    </w:p>
    <w:p w14:paraId="2D260133">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随机数一般可使用随机数表等方法产生。</w:t>
      </w:r>
    </w:p>
    <w:p w14:paraId="2608D5AC">
      <w:pPr>
        <w:spacing w:line="560" w:lineRule="exact"/>
        <w:ind w:firstLine="640" w:firstLineChars="200"/>
        <w:rPr>
          <w:rFonts w:eastAsia="仿宋_GB2312" w:cs="仿宋_GB2312"/>
          <w:sz w:val="32"/>
          <w:szCs w:val="40"/>
        </w:rPr>
      </w:pPr>
      <w:r>
        <w:rPr>
          <w:rFonts w:hint="eastAsia" w:ascii="仿宋_GB2312" w:hAnsi="仿宋_GB2312" w:eastAsia="仿宋_GB2312" w:cs="仿宋_GB2312"/>
          <w:sz w:val="32"/>
          <w:szCs w:val="32"/>
        </w:rPr>
        <w:t>每批次产品抽取样品2件/条/套，其中1件/条/套作为检验样品，1件/条/套作为备用样品。</w:t>
      </w:r>
      <w:r>
        <w:rPr>
          <w:rFonts w:hint="eastAsia" w:eastAsia="仿宋_GB2312" w:cs="仿宋_GB2312"/>
          <w:sz w:val="32"/>
          <w:szCs w:val="40"/>
        </w:rPr>
        <w:t>如产品属于短裤等尺寸较小产品，检验和备用样品各增加1条。</w:t>
      </w:r>
    </w:p>
    <w:p w14:paraId="3BFA00A6">
      <w:pPr>
        <w:spacing w:line="560" w:lineRule="exact"/>
        <w:ind w:firstLine="640" w:firstLineChars="200"/>
        <w:rPr>
          <w:rFonts w:eastAsia="仿宋_GB2312" w:cs="仿宋_GB2312"/>
          <w:sz w:val="32"/>
          <w:szCs w:val="40"/>
        </w:rPr>
      </w:pPr>
      <w:r>
        <w:rPr>
          <w:rFonts w:hint="eastAsia" w:ascii="仿宋_GB2312" w:hAnsi="仿宋_GB2312" w:eastAsia="仿宋_GB2312" w:cs="仿宋_GB2312"/>
          <w:sz w:val="32"/>
          <w:szCs w:val="32"/>
        </w:rPr>
        <w:t>跟踪抽查可以根据不合格项目情况适当减少抽样量（至少包括2个抽样量：1个是检验用，1个是备用），且须经组织监督抽查（或印发监督抽查方案）的市场监管部门同意；跟踪抽查的抽样量须同时符合如下要求：1.原则上跟踪抽查抽样量与上述常规抽查抽样量一致；2.抽样量以库存量为准（且不得多于本细则要求的常规抽查抽样量），且符合“国内待销产品”等要求。</w:t>
      </w:r>
    </w:p>
    <w:p w14:paraId="00F7BFFE">
      <w:pPr>
        <w:snapToGrid w:val="0"/>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2 检验依据</w:t>
      </w:r>
    </w:p>
    <w:tbl>
      <w:tblPr>
        <w:tblStyle w:val="1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3791"/>
        <w:gridCol w:w="4536"/>
      </w:tblGrid>
      <w:tr w14:paraId="6C519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blHeader/>
          <w:jc w:val="center"/>
        </w:trPr>
        <w:tc>
          <w:tcPr>
            <w:tcW w:w="517" w:type="pct"/>
            <w:vAlign w:val="center"/>
          </w:tcPr>
          <w:p w14:paraId="3B8D2507">
            <w:pPr>
              <w:snapToGrid w:val="0"/>
              <w:spacing w:line="340" w:lineRule="exact"/>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2041" w:type="pct"/>
            <w:vAlign w:val="center"/>
          </w:tcPr>
          <w:p w14:paraId="30D24866">
            <w:pPr>
              <w:snapToGrid w:val="0"/>
              <w:spacing w:line="340" w:lineRule="exact"/>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检验项目</w:t>
            </w:r>
          </w:p>
        </w:tc>
        <w:tc>
          <w:tcPr>
            <w:tcW w:w="2441" w:type="pct"/>
            <w:vAlign w:val="center"/>
          </w:tcPr>
          <w:p w14:paraId="0E30419B">
            <w:pPr>
              <w:snapToGrid w:val="0"/>
              <w:spacing w:line="340" w:lineRule="exact"/>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检验方法</w:t>
            </w:r>
          </w:p>
        </w:tc>
      </w:tr>
      <w:tr w14:paraId="60757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10CA213C">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1</w:t>
            </w:r>
          </w:p>
        </w:tc>
        <w:tc>
          <w:tcPr>
            <w:tcW w:w="2041" w:type="pct"/>
            <w:vAlign w:val="center"/>
          </w:tcPr>
          <w:p w14:paraId="3569C101">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甲醛含量</w:t>
            </w:r>
          </w:p>
        </w:tc>
        <w:tc>
          <w:tcPr>
            <w:tcW w:w="2441" w:type="pct"/>
            <w:vAlign w:val="center"/>
          </w:tcPr>
          <w:p w14:paraId="351E24C5">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2912.1—2009</w:t>
            </w:r>
          </w:p>
        </w:tc>
      </w:tr>
      <w:tr w14:paraId="455F9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159CA5A9">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2</w:t>
            </w:r>
          </w:p>
        </w:tc>
        <w:tc>
          <w:tcPr>
            <w:tcW w:w="2041" w:type="pct"/>
            <w:vAlign w:val="center"/>
          </w:tcPr>
          <w:p w14:paraId="358C1219">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pH值</w:t>
            </w:r>
          </w:p>
        </w:tc>
        <w:tc>
          <w:tcPr>
            <w:tcW w:w="2441" w:type="pct"/>
            <w:vAlign w:val="center"/>
          </w:tcPr>
          <w:p w14:paraId="599F0A6B">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7573—2009</w:t>
            </w:r>
          </w:p>
        </w:tc>
      </w:tr>
      <w:tr w14:paraId="241E2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7EB1F1EC">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3</w:t>
            </w:r>
          </w:p>
        </w:tc>
        <w:tc>
          <w:tcPr>
            <w:tcW w:w="2041" w:type="pct"/>
            <w:vAlign w:val="center"/>
          </w:tcPr>
          <w:p w14:paraId="0B9AD7E9">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可分解致癌芳香胺染料</w:t>
            </w:r>
          </w:p>
        </w:tc>
        <w:tc>
          <w:tcPr>
            <w:tcW w:w="2441" w:type="pct"/>
            <w:vAlign w:val="center"/>
          </w:tcPr>
          <w:p w14:paraId="4E59ABC8">
            <w:pPr>
              <w:spacing w:line="360" w:lineRule="auto"/>
              <w:jc w:val="center"/>
              <w:rPr>
                <w:rFonts w:eastAsia="仿宋_GB2312" w:cs="仿宋_GB2312"/>
                <w:color w:val="000000"/>
                <w:szCs w:val="21"/>
              </w:rPr>
            </w:pPr>
            <w:r>
              <w:rPr>
                <w:rFonts w:hint="eastAsia" w:eastAsia="仿宋_GB2312" w:cs="仿宋_GB2312"/>
                <w:color w:val="000000"/>
                <w:szCs w:val="21"/>
              </w:rPr>
              <w:t>GB/T 17592—2024</w:t>
            </w:r>
          </w:p>
          <w:p w14:paraId="612002F4">
            <w:pPr>
              <w:spacing w:line="360" w:lineRule="auto"/>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23344—2009</w:t>
            </w:r>
          </w:p>
        </w:tc>
      </w:tr>
      <w:tr w14:paraId="05ACB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340B4D1D">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4</w:t>
            </w:r>
          </w:p>
        </w:tc>
        <w:tc>
          <w:tcPr>
            <w:tcW w:w="2041" w:type="pct"/>
            <w:vAlign w:val="center"/>
          </w:tcPr>
          <w:p w14:paraId="309A2A54">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耐水色牢度</w:t>
            </w:r>
          </w:p>
        </w:tc>
        <w:tc>
          <w:tcPr>
            <w:tcW w:w="2441" w:type="pct"/>
            <w:vAlign w:val="center"/>
          </w:tcPr>
          <w:p w14:paraId="2556955C">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5713—2013</w:t>
            </w:r>
          </w:p>
        </w:tc>
      </w:tr>
      <w:tr w14:paraId="7BDCC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4D06B1A3">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5</w:t>
            </w:r>
          </w:p>
        </w:tc>
        <w:tc>
          <w:tcPr>
            <w:tcW w:w="2041" w:type="pct"/>
            <w:vAlign w:val="center"/>
          </w:tcPr>
          <w:p w14:paraId="14D990E9">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耐酸汗渍色牢度</w:t>
            </w:r>
          </w:p>
        </w:tc>
        <w:tc>
          <w:tcPr>
            <w:tcW w:w="2441" w:type="pct"/>
            <w:vAlign w:val="center"/>
          </w:tcPr>
          <w:p w14:paraId="7998F430">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3922—2013</w:t>
            </w:r>
          </w:p>
        </w:tc>
      </w:tr>
      <w:tr w14:paraId="50CF1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5F1CE76E">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6</w:t>
            </w:r>
          </w:p>
        </w:tc>
        <w:tc>
          <w:tcPr>
            <w:tcW w:w="2041" w:type="pct"/>
            <w:vAlign w:val="center"/>
          </w:tcPr>
          <w:p w14:paraId="72E75A93">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耐碱汗渍色牢度</w:t>
            </w:r>
          </w:p>
        </w:tc>
        <w:tc>
          <w:tcPr>
            <w:tcW w:w="2441" w:type="pct"/>
            <w:vAlign w:val="center"/>
          </w:tcPr>
          <w:p w14:paraId="308A9DA8">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3922—2013</w:t>
            </w:r>
          </w:p>
        </w:tc>
      </w:tr>
      <w:tr w14:paraId="40B3D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32DA2D19">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7</w:t>
            </w:r>
          </w:p>
        </w:tc>
        <w:tc>
          <w:tcPr>
            <w:tcW w:w="2041" w:type="pct"/>
            <w:vAlign w:val="center"/>
          </w:tcPr>
          <w:p w14:paraId="7700EBC6">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耐干摩擦色牢度</w:t>
            </w:r>
          </w:p>
        </w:tc>
        <w:tc>
          <w:tcPr>
            <w:tcW w:w="2441" w:type="pct"/>
            <w:vAlign w:val="center"/>
          </w:tcPr>
          <w:p w14:paraId="79620702">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3920—2008</w:t>
            </w:r>
          </w:p>
        </w:tc>
      </w:tr>
      <w:tr w14:paraId="65BD2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 w:type="pct"/>
            <w:vAlign w:val="center"/>
          </w:tcPr>
          <w:p w14:paraId="4D44A4A8">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8</w:t>
            </w:r>
          </w:p>
        </w:tc>
        <w:tc>
          <w:tcPr>
            <w:tcW w:w="2041" w:type="pct"/>
            <w:vAlign w:val="center"/>
          </w:tcPr>
          <w:p w14:paraId="5D6DA7FB">
            <w:pPr>
              <w:spacing w:line="560" w:lineRule="exact"/>
              <w:jc w:val="center"/>
              <w:rPr>
                <w:rFonts w:eastAsia="仿宋_GB2312" w:cs="仿宋_GB2312"/>
                <w:color w:val="000000"/>
                <w:szCs w:val="21"/>
              </w:rPr>
            </w:pPr>
            <w:r>
              <w:rPr>
                <w:rFonts w:hint="eastAsia" w:eastAsia="仿宋_GB2312" w:cs="仿宋_GB2312"/>
                <w:color w:val="000000"/>
                <w:szCs w:val="21"/>
              </w:rPr>
              <w:t>耐湿摩擦色牢度</w:t>
            </w:r>
          </w:p>
        </w:tc>
        <w:tc>
          <w:tcPr>
            <w:tcW w:w="2441" w:type="pct"/>
            <w:vAlign w:val="center"/>
          </w:tcPr>
          <w:p w14:paraId="52D2380D">
            <w:pPr>
              <w:spacing w:line="560" w:lineRule="exact"/>
              <w:jc w:val="center"/>
              <w:rPr>
                <w:rFonts w:eastAsia="仿宋_GB2312" w:cs="仿宋_GB2312"/>
                <w:color w:val="000000"/>
                <w:szCs w:val="21"/>
              </w:rPr>
            </w:pPr>
            <w:r>
              <w:rPr>
                <w:rFonts w:hint="eastAsia" w:eastAsia="仿宋_GB2312" w:cs="仿宋_GB2312"/>
                <w:color w:val="000000"/>
                <w:szCs w:val="21"/>
              </w:rPr>
              <w:t>GB/T 3920—2008</w:t>
            </w:r>
          </w:p>
        </w:tc>
      </w:tr>
      <w:tr w14:paraId="2FC73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25474D71">
            <w:pPr>
              <w:spacing w:line="34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9</w:t>
            </w:r>
          </w:p>
        </w:tc>
        <w:tc>
          <w:tcPr>
            <w:tcW w:w="2041" w:type="pct"/>
            <w:vAlign w:val="center"/>
          </w:tcPr>
          <w:p w14:paraId="3B72B155">
            <w:pPr>
              <w:spacing w:line="560" w:lineRule="exact"/>
              <w:jc w:val="center"/>
              <w:rPr>
                <w:rFonts w:hint="eastAsia" w:ascii="仿宋_GB2312" w:hAnsi="仿宋_GB2312" w:eastAsia="仿宋_GB2312" w:cs="仿宋_GB2312"/>
                <w:szCs w:val="21"/>
                <w:highlight w:val="yellow"/>
              </w:rPr>
            </w:pPr>
            <w:r>
              <w:rPr>
                <w:rFonts w:hint="eastAsia" w:eastAsia="仿宋_GB2312" w:cs="仿宋_GB2312"/>
                <w:color w:val="000000"/>
                <w:szCs w:val="21"/>
                <w:lang w:bidi="ar"/>
              </w:rPr>
              <w:t>纤维含量</w:t>
            </w:r>
          </w:p>
        </w:tc>
        <w:tc>
          <w:tcPr>
            <w:tcW w:w="2441" w:type="pct"/>
            <w:vAlign w:val="center"/>
          </w:tcPr>
          <w:p w14:paraId="3A09D615">
            <w:pPr>
              <w:spacing w:line="360" w:lineRule="auto"/>
              <w:jc w:val="center"/>
              <w:rPr>
                <w:rFonts w:eastAsia="仿宋_GB2312" w:cs="仿宋_GB2312"/>
                <w:color w:val="000000"/>
                <w:szCs w:val="21"/>
              </w:rPr>
            </w:pPr>
            <w:r>
              <w:rPr>
                <w:rFonts w:hint="eastAsia" w:eastAsia="仿宋_GB2312" w:cs="仿宋_GB2312"/>
                <w:color w:val="000000"/>
                <w:szCs w:val="21"/>
              </w:rPr>
              <w:t>FZ/T 01057.1—2007</w:t>
            </w:r>
          </w:p>
          <w:p w14:paraId="2666B30E">
            <w:pPr>
              <w:spacing w:line="360" w:lineRule="auto"/>
              <w:jc w:val="center"/>
              <w:rPr>
                <w:rFonts w:eastAsia="仿宋_GB2312" w:cs="仿宋_GB2312"/>
                <w:color w:val="000000"/>
                <w:szCs w:val="21"/>
              </w:rPr>
            </w:pPr>
            <w:r>
              <w:rPr>
                <w:rFonts w:hint="eastAsia" w:eastAsia="仿宋_GB2312" w:cs="仿宋_GB2312"/>
                <w:color w:val="000000"/>
                <w:szCs w:val="21"/>
              </w:rPr>
              <w:t>FZ/T 01057.2—2007</w:t>
            </w:r>
          </w:p>
          <w:p w14:paraId="4CEFE83E">
            <w:pPr>
              <w:spacing w:line="360" w:lineRule="auto"/>
              <w:jc w:val="center"/>
              <w:rPr>
                <w:rFonts w:eastAsia="仿宋_GB2312" w:cs="仿宋_GB2312"/>
                <w:color w:val="000000"/>
                <w:szCs w:val="21"/>
              </w:rPr>
            </w:pPr>
            <w:r>
              <w:rPr>
                <w:rFonts w:hint="eastAsia" w:eastAsia="仿宋_GB2312" w:cs="仿宋_GB2312"/>
                <w:color w:val="000000"/>
                <w:szCs w:val="21"/>
              </w:rPr>
              <w:t>FZ/T 01057.3—2007</w:t>
            </w:r>
          </w:p>
          <w:p w14:paraId="2AAD694B">
            <w:pPr>
              <w:spacing w:line="360" w:lineRule="auto"/>
              <w:jc w:val="center"/>
              <w:rPr>
                <w:rFonts w:eastAsia="仿宋_GB2312" w:cs="仿宋_GB2312"/>
                <w:color w:val="000000"/>
                <w:szCs w:val="21"/>
              </w:rPr>
            </w:pPr>
            <w:r>
              <w:rPr>
                <w:rFonts w:hint="eastAsia" w:eastAsia="仿宋_GB2312" w:cs="仿宋_GB2312"/>
                <w:color w:val="000000"/>
                <w:szCs w:val="21"/>
              </w:rPr>
              <w:t>FZ/T 01057.4—2007</w:t>
            </w:r>
          </w:p>
          <w:p w14:paraId="59AD22C2">
            <w:pPr>
              <w:spacing w:line="360" w:lineRule="auto"/>
              <w:jc w:val="center"/>
              <w:rPr>
                <w:rFonts w:eastAsia="仿宋_GB2312" w:cs="仿宋_GB2312"/>
                <w:color w:val="000000"/>
                <w:szCs w:val="21"/>
              </w:rPr>
            </w:pPr>
            <w:r>
              <w:rPr>
                <w:rFonts w:hint="eastAsia" w:eastAsia="仿宋_GB2312" w:cs="仿宋_GB2312"/>
                <w:color w:val="000000"/>
                <w:szCs w:val="21"/>
              </w:rPr>
              <w:t>FZ/T 01057.6—2007</w:t>
            </w:r>
          </w:p>
          <w:p w14:paraId="621B5560">
            <w:pPr>
              <w:spacing w:line="360" w:lineRule="auto"/>
              <w:jc w:val="center"/>
              <w:rPr>
                <w:rFonts w:eastAsia="仿宋_GB2312" w:cs="仿宋_GB2312"/>
                <w:color w:val="000000"/>
                <w:szCs w:val="21"/>
              </w:rPr>
            </w:pPr>
            <w:r>
              <w:rPr>
                <w:rFonts w:hint="eastAsia" w:eastAsia="仿宋_GB2312" w:cs="仿宋_GB2312"/>
                <w:color w:val="000000"/>
                <w:szCs w:val="21"/>
              </w:rPr>
              <w:t>GB/T 2910.1—2009</w:t>
            </w:r>
          </w:p>
          <w:p w14:paraId="4DA7291A">
            <w:pPr>
              <w:spacing w:line="360" w:lineRule="auto"/>
              <w:jc w:val="center"/>
              <w:rPr>
                <w:rFonts w:eastAsia="仿宋_GB2312" w:cs="仿宋_GB2312"/>
                <w:color w:val="000000"/>
                <w:szCs w:val="21"/>
              </w:rPr>
            </w:pPr>
            <w:r>
              <w:rPr>
                <w:rFonts w:hint="eastAsia" w:eastAsia="仿宋_GB2312" w:cs="仿宋_GB2312"/>
                <w:color w:val="000000"/>
                <w:szCs w:val="21"/>
              </w:rPr>
              <w:t>GB/T 2910.2—2009</w:t>
            </w:r>
          </w:p>
          <w:p w14:paraId="20E0B37F">
            <w:pPr>
              <w:spacing w:line="360" w:lineRule="auto"/>
              <w:jc w:val="center"/>
              <w:rPr>
                <w:rFonts w:eastAsia="仿宋_GB2312" w:cs="仿宋_GB2312"/>
                <w:color w:val="000000"/>
                <w:szCs w:val="21"/>
              </w:rPr>
            </w:pPr>
            <w:r>
              <w:rPr>
                <w:rFonts w:hint="eastAsia" w:eastAsia="仿宋_GB2312" w:cs="仿宋_GB2312"/>
                <w:color w:val="000000"/>
                <w:szCs w:val="21"/>
              </w:rPr>
              <w:t>GB/T 2910.3—2009</w:t>
            </w:r>
          </w:p>
          <w:p w14:paraId="6752DBF0">
            <w:pPr>
              <w:spacing w:line="360" w:lineRule="auto"/>
              <w:jc w:val="center"/>
              <w:rPr>
                <w:rFonts w:eastAsia="仿宋_GB2312" w:cs="仿宋_GB2312"/>
                <w:color w:val="000000"/>
                <w:szCs w:val="21"/>
              </w:rPr>
            </w:pPr>
            <w:r>
              <w:rPr>
                <w:rFonts w:hint="eastAsia" w:eastAsia="仿宋_GB2312" w:cs="仿宋_GB2312"/>
                <w:color w:val="000000"/>
                <w:szCs w:val="21"/>
              </w:rPr>
              <w:t>GB/T 2910.4—2022</w:t>
            </w:r>
          </w:p>
          <w:p w14:paraId="70CC66FE">
            <w:pPr>
              <w:spacing w:line="360" w:lineRule="auto"/>
              <w:jc w:val="center"/>
              <w:rPr>
                <w:rFonts w:eastAsia="仿宋_GB2312" w:cs="仿宋_GB2312"/>
                <w:color w:val="000000"/>
                <w:szCs w:val="21"/>
              </w:rPr>
            </w:pPr>
            <w:r>
              <w:rPr>
                <w:rFonts w:hint="eastAsia" w:eastAsia="仿宋_GB2312" w:cs="仿宋_GB2312"/>
                <w:color w:val="000000"/>
                <w:szCs w:val="21"/>
              </w:rPr>
              <w:t>GB/T 2910.6—2009</w:t>
            </w:r>
          </w:p>
          <w:p w14:paraId="6C98122F">
            <w:pPr>
              <w:spacing w:line="360" w:lineRule="auto"/>
              <w:jc w:val="center"/>
              <w:rPr>
                <w:rFonts w:eastAsia="仿宋_GB2312" w:cs="仿宋_GB2312"/>
                <w:color w:val="000000"/>
                <w:szCs w:val="21"/>
              </w:rPr>
            </w:pPr>
            <w:r>
              <w:rPr>
                <w:rFonts w:hint="eastAsia" w:eastAsia="仿宋_GB2312" w:cs="仿宋_GB2312"/>
                <w:color w:val="000000"/>
                <w:szCs w:val="21"/>
              </w:rPr>
              <w:t>GB/T 2910.7—2009</w:t>
            </w:r>
          </w:p>
          <w:p w14:paraId="20FE9547">
            <w:pPr>
              <w:spacing w:line="360" w:lineRule="auto"/>
              <w:jc w:val="center"/>
              <w:rPr>
                <w:rFonts w:eastAsia="仿宋_GB2312" w:cs="仿宋_GB2312"/>
                <w:color w:val="000000"/>
                <w:szCs w:val="21"/>
              </w:rPr>
            </w:pPr>
            <w:r>
              <w:rPr>
                <w:rFonts w:hint="eastAsia" w:eastAsia="仿宋_GB2312" w:cs="仿宋_GB2312"/>
                <w:color w:val="000000"/>
                <w:szCs w:val="21"/>
              </w:rPr>
              <w:t>GB/T 2910.8—2009</w:t>
            </w:r>
          </w:p>
          <w:p w14:paraId="61B1968A">
            <w:pPr>
              <w:spacing w:line="360" w:lineRule="auto"/>
              <w:jc w:val="center"/>
              <w:rPr>
                <w:rFonts w:eastAsia="仿宋_GB2312" w:cs="仿宋_GB2312"/>
                <w:szCs w:val="21"/>
              </w:rPr>
            </w:pPr>
            <w:r>
              <w:rPr>
                <w:rFonts w:hint="eastAsia" w:eastAsia="仿宋_GB2312" w:cs="仿宋_GB2312"/>
                <w:szCs w:val="21"/>
              </w:rPr>
              <w:t>GB/T 2910.11—20</w:t>
            </w:r>
            <w:r>
              <w:rPr>
                <w:rFonts w:hint="eastAsia" w:cs="仿宋_GB2312"/>
                <w:szCs w:val="21"/>
              </w:rPr>
              <w:t>24</w:t>
            </w:r>
          </w:p>
          <w:p w14:paraId="74E90C7D">
            <w:pPr>
              <w:spacing w:line="360" w:lineRule="auto"/>
              <w:jc w:val="center"/>
              <w:rPr>
                <w:rFonts w:eastAsia="仿宋_GB2312" w:cs="仿宋_GB2312"/>
                <w:color w:val="000000"/>
                <w:szCs w:val="21"/>
              </w:rPr>
            </w:pPr>
            <w:r>
              <w:rPr>
                <w:rFonts w:hint="eastAsia" w:eastAsia="仿宋_GB2312" w:cs="仿宋_GB2312"/>
                <w:color w:val="000000"/>
                <w:szCs w:val="21"/>
              </w:rPr>
              <w:t>GB/T 2910.12—2023</w:t>
            </w:r>
          </w:p>
          <w:p w14:paraId="2B9107E1">
            <w:pPr>
              <w:spacing w:line="360" w:lineRule="auto"/>
              <w:jc w:val="center"/>
              <w:rPr>
                <w:rFonts w:eastAsia="仿宋_GB2312" w:cs="仿宋_GB2312"/>
                <w:color w:val="000000"/>
                <w:szCs w:val="21"/>
              </w:rPr>
            </w:pPr>
            <w:r>
              <w:rPr>
                <w:rFonts w:hint="eastAsia" w:eastAsia="仿宋_GB2312" w:cs="仿宋_GB2312"/>
                <w:color w:val="000000"/>
                <w:szCs w:val="21"/>
              </w:rPr>
              <w:t>GB/T 2910.18—2009</w:t>
            </w:r>
          </w:p>
          <w:p w14:paraId="75E80EF0">
            <w:pPr>
              <w:spacing w:line="360" w:lineRule="auto"/>
              <w:jc w:val="center"/>
              <w:rPr>
                <w:rFonts w:eastAsia="仿宋_GB2312" w:cs="仿宋_GB2312"/>
                <w:color w:val="000000"/>
                <w:szCs w:val="21"/>
              </w:rPr>
            </w:pPr>
            <w:r>
              <w:rPr>
                <w:rFonts w:hint="eastAsia" w:eastAsia="仿宋_GB2312" w:cs="仿宋_GB2312"/>
                <w:color w:val="000000"/>
                <w:szCs w:val="21"/>
              </w:rPr>
              <w:t>GB/T 2910.20—2009</w:t>
            </w:r>
          </w:p>
          <w:p w14:paraId="629202F9">
            <w:pPr>
              <w:spacing w:line="360" w:lineRule="auto"/>
              <w:jc w:val="center"/>
              <w:rPr>
                <w:rFonts w:eastAsia="仿宋_GB2312" w:cs="仿宋_GB2312"/>
                <w:color w:val="000000"/>
                <w:szCs w:val="21"/>
              </w:rPr>
            </w:pPr>
            <w:r>
              <w:rPr>
                <w:rFonts w:hint="eastAsia" w:eastAsia="仿宋_GB2312" w:cs="仿宋_GB2312"/>
                <w:color w:val="000000"/>
                <w:szCs w:val="21"/>
              </w:rPr>
              <w:t>GB/T 2910.22—2009</w:t>
            </w:r>
          </w:p>
          <w:p w14:paraId="1688F8FB">
            <w:pPr>
              <w:spacing w:line="360" w:lineRule="auto"/>
              <w:jc w:val="center"/>
              <w:rPr>
                <w:rFonts w:eastAsia="仿宋_GB2312" w:cs="仿宋_GB2312"/>
                <w:color w:val="000000"/>
                <w:szCs w:val="21"/>
              </w:rPr>
            </w:pPr>
            <w:r>
              <w:rPr>
                <w:rFonts w:hint="eastAsia" w:eastAsia="仿宋_GB2312" w:cs="仿宋_GB2312"/>
                <w:color w:val="000000"/>
                <w:szCs w:val="21"/>
              </w:rPr>
              <w:t>GB/T 2910.101—2009</w:t>
            </w:r>
          </w:p>
          <w:p w14:paraId="1FC46597">
            <w:pPr>
              <w:spacing w:line="360" w:lineRule="auto"/>
              <w:jc w:val="center"/>
              <w:rPr>
                <w:rFonts w:eastAsia="仿宋_GB2312" w:cs="仿宋_GB2312"/>
                <w:color w:val="000000"/>
                <w:szCs w:val="21"/>
              </w:rPr>
            </w:pPr>
            <w:r>
              <w:rPr>
                <w:rFonts w:hint="eastAsia" w:eastAsia="仿宋_GB2312" w:cs="仿宋_GB2312"/>
                <w:color w:val="000000"/>
                <w:szCs w:val="21"/>
              </w:rPr>
              <w:t>FZ/T 01101—2008</w:t>
            </w:r>
          </w:p>
          <w:p w14:paraId="4C7A125E">
            <w:pPr>
              <w:spacing w:line="360" w:lineRule="auto"/>
              <w:jc w:val="center"/>
              <w:rPr>
                <w:rFonts w:eastAsia="仿宋_GB2312" w:cs="仿宋_GB2312"/>
                <w:color w:val="000000"/>
                <w:szCs w:val="21"/>
              </w:rPr>
            </w:pPr>
            <w:r>
              <w:rPr>
                <w:rFonts w:hint="eastAsia" w:eastAsia="仿宋_GB2312" w:cs="仿宋_GB2312"/>
                <w:color w:val="000000"/>
                <w:szCs w:val="21"/>
              </w:rPr>
              <w:t>FZ/T 01112—2012</w:t>
            </w:r>
          </w:p>
          <w:p w14:paraId="021F890D">
            <w:pPr>
              <w:spacing w:line="360" w:lineRule="auto"/>
              <w:jc w:val="center"/>
              <w:rPr>
                <w:rFonts w:eastAsia="仿宋_GB2312" w:cs="仿宋_GB2312"/>
                <w:color w:val="000000"/>
                <w:szCs w:val="21"/>
              </w:rPr>
            </w:pPr>
            <w:r>
              <w:rPr>
                <w:rFonts w:hint="eastAsia" w:eastAsia="仿宋_GB2312" w:cs="仿宋_GB2312"/>
                <w:color w:val="000000"/>
                <w:szCs w:val="21"/>
              </w:rPr>
              <w:t>FZ/T 01026—2017</w:t>
            </w:r>
          </w:p>
          <w:p w14:paraId="0ED97697">
            <w:pPr>
              <w:spacing w:line="360" w:lineRule="auto"/>
              <w:jc w:val="center"/>
              <w:rPr>
                <w:rFonts w:eastAsia="仿宋_GB2312" w:cs="仿宋_GB2312"/>
                <w:color w:val="000000"/>
                <w:szCs w:val="21"/>
              </w:rPr>
            </w:pPr>
            <w:r>
              <w:rPr>
                <w:rFonts w:hint="eastAsia" w:eastAsia="仿宋_GB2312" w:cs="仿宋_GB2312"/>
                <w:color w:val="000000"/>
                <w:szCs w:val="21"/>
              </w:rPr>
              <w:t>FZ/T 30003—2009</w:t>
            </w:r>
          </w:p>
          <w:p w14:paraId="47A7418B">
            <w:pPr>
              <w:spacing w:line="360" w:lineRule="auto"/>
              <w:jc w:val="center"/>
              <w:rPr>
                <w:rFonts w:eastAsia="仿宋_GB2312" w:cs="仿宋_GB2312"/>
                <w:color w:val="000000"/>
                <w:szCs w:val="21"/>
              </w:rPr>
            </w:pPr>
            <w:r>
              <w:rPr>
                <w:rFonts w:hint="eastAsia" w:eastAsia="仿宋_GB2312" w:cs="仿宋_GB2312"/>
                <w:color w:val="000000"/>
                <w:szCs w:val="21"/>
              </w:rPr>
              <w:t>FZ/T 30003—2024</w:t>
            </w:r>
          </w:p>
          <w:p w14:paraId="768A554C">
            <w:pPr>
              <w:spacing w:line="360" w:lineRule="auto"/>
              <w:jc w:val="center"/>
              <w:rPr>
                <w:rFonts w:eastAsia="仿宋_GB2312" w:cs="仿宋_GB2312"/>
                <w:color w:val="000000"/>
                <w:szCs w:val="21"/>
              </w:rPr>
            </w:pPr>
            <w:r>
              <w:rPr>
                <w:rFonts w:hint="eastAsia" w:eastAsia="仿宋_GB2312" w:cs="仿宋_GB2312"/>
                <w:color w:val="000000"/>
                <w:szCs w:val="21"/>
              </w:rPr>
              <w:t>GB/T 16988—2013</w:t>
            </w:r>
          </w:p>
          <w:p w14:paraId="33F742B7">
            <w:pPr>
              <w:spacing w:line="360" w:lineRule="auto"/>
              <w:jc w:val="center"/>
              <w:rPr>
                <w:rFonts w:hint="eastAsia" w:ascii="仿宋_GB2312" w:hAnsi="仿宋_GB2312" w:eastAsia="仿宋_GB2312" w:cs="仿宋_GB2312"/>
                <w:szCs w:val="21"/>
                <w:highlight w:val="yellow"/>
              </w:rPr>
            </w:pPr>
            <w:r>
              <w:rPr>
                <w:rFonts w:hint="eastAsia" w:eastAsia="仿宋_GB2312" w:cs="仿宋_GB2312"/>
                <w:color w:val="000000"/>
                <w:szCs w:val="21"/>
              </w:rPr>
              <w:t>GB/T 38015—2019</w:t>
            </w:r>
          </w:p>
        </w:tc>
      </w:tr>
      <w:tr w14:paraId="40A0E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08466F1F">
            <w:pPr>
              <w:spacing w:line="560" w:lineRule="exact"/>
              <w:jc w:val="center"/>
              <w:rPr>
                <w:rFonts w:eastAsia="仿宋_GB2312" w:cs="仿宋_GB2312"/>
                <w:color w:val="000000"/>
                <w:szCs w:val="21"/>
              </w:rPr>
            </w:pPr>
            <w:r>
              <w:rPr>
                <w:rFonts w:hint="eastAsia" w:eastAsia="仿宋_GB2312" w:cs="仿宋_GB2312"/>
                <w:color w:val="000000"/>
                <w:szCs w:val="21"/>
              </w:rPr>
              <w:t>10</w:t>
            </w:r>
          </w:p>
        </w:tc>
        <w:tc>
          <w:tcPr>
            <w:tcW w:w="2041" w:type="pct"/>
            <w:vAlign w:val="center"/>
          </w:tcPr>
          <w:p w14:paraId="1121B7E1">
            <w:pPr>
              <w:spacing w:line="560" w:lineRule="exact"/>
              <w:jc w:val="center"/>
              <w:rPr>
                <w:rFonts w:eastAsia="仿宋_GB2312" w:cs="仿宋_GB2312"/>
                <w:color w:val="000000"/>
                <w:szCs w:val="21"/>
              </w:rPr>
            </w:pPr>
            <w:r>
              <w:rPr>
                <w:rFonts w:hint="eastAsia" w:eastAsia="仿宋_GB2312" w:cs="仿宋_GB2312"/>
                <w:szCs w:val="21"/>
              </w:rPr>
              <w:t>绳带要求</w:t>
            </w:r>
            <w:r>
              <w:rPr>
                <w:rFonts w:hint="eastAsia" w:cs="仿宋_GB2312"/>
                <w:szCs w:val="21"/>
                <w:vertAlign w:val="superscript"/>
              </w:rPr>
              <w:t>a</w:t>
            </w:r>
          </w:p>
        </w:tc>
        <w:tc>
          <w:tcPr>
            <w:tcW w:w="2441" w:type="pct"/>
            <w:vAlign w:val="center"/>
          </w:tcPr>
          <w:p w14:paraId="5597EE61">
            <w:pPr>
              <w:spacing w:line="560" w:lineRule="exact"/>
              <w:jc w:val="center"/>
              <w:rPr>
                <w:rFonts w:eastAsia="仿宋_GB2312" w:cs="仿宋_GB2312"/>
                <w:color w:val="000000"/>
                <w:szCs w:val="21"/>
                <w:lang w:bidi="ar"/>
              </w:rPr>
            </w:pPr>
            <w:r>
              <w:rPr>
                <w:rFonts w:hint="eastAsia" w:eastAsia="仿宋_GB2312" w:cs="仿宋_GB2312"/>
                <w:szCs w:val="21"/>
              </w:rPr>
              <w:t>GB 31701—2015</w:t>
            </w:r>
          </w:p>
        </w:tc>
      </w:tr>
      <w:tr w14:paraId="6BFBD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7912FF23">
            <w:pPr>
              <w:spacing w:line="560" w:lineRule="exact"/>
              <w:jc w:val="center"/>
              <w:rPr>
                <w:rFonts w:eastAsia="仿宋_GB2312" w:cs="仿宋_GB2312"/>
                <w:color w:val="000000"/>
                <w:szCs w:val="21"/>
              </w:rPr>
            </w:pPr>
            <w:r>
              <w:rPr>
                <w:rFonts w:hint="eastAsia" w:eastAsia="仿宋_GB2312" w:cs="仿宋_GB2312"/>
                <w:color w:val="000000"/>
                <w:szCs w:val="21"/>
              </w:rPr>
              <w:t>11</w:t>
            </w:r>
          </w:p>
        </w:tc>
        <w:tc>
          <w:tcPr>
            <w:tcW w:w="2041" w:type="pct"/>
            <w:vAlign w:val="center"/>
          </w:tcPr>
          <w:p w14:paraId="68D2D8C6">
            <w:pPr>
              <w:spacing w:line="560" w:lineRule="exact"/>
              <w:jc w:val="center"/>
              <w:rPr>
                <w:rFonts w:eastAsia="仿宋_GB2312" w:cs="仿宋_GB2312"/>
                <w:color w:val="000000"/>
                <w:szCs w:val="21"/>
              </w:rPr>
            </w:pPr>
            <w:r>
              <w:rPr>
                <w:rFonts w:hint="eastAsia" w:eastAsia="仿宋_GB2312" w:cs="仿宋_GB2312"/>
                <w:szCs w:val="21"/>
              </w:rPr>
              <w:t>附件锐利性</w:t>
            </w:r>
            <w:r>
              <w:rPr>
                <w:rFonts w:hint="eastAsia" w:cs="仿宋_GB2312"/>
                <w:szCs w:val="21"/>
                <w:vertAlign w:val="superscript"/>
              </w:rPr>
              <w:t>a</w:t>
            </w:r>
          </w:p>
        </w:tc>
        <w:tc>
          <w:tcPr>
            <w:tcW w:w="2441" w:type="pct"/>
            <w:vAlign w:val="center"/>
          </w:tcPr>
          <w:p w14:paraId="7BD315E4">
            <w:pPr>
              <w:spacing w:line="560" w:lineRule="exact"/>
              <w:jc w:val="center"/>
              <w:rPr>
                <w:rFonts w:eastAsia="仿宋_GB2312" w:cs="仿宋_GB2312"/>
                <w:color w:val="000000"/>
                <w:szCs w:val="21"/>
                <w:lang w:bidi="ar"/>
              </w:rPr>
            </w:pPr>
            <w:r>
              <w:rPr>
                <w:rFonts w:hint="eastAsia" w:eastAsia="仿宋_GB2312" w:cs="仿宋_GB2312"/>
                <w:szCs w:val="21"/>
              </w:rPr>
              <w:t>GB/T 31702—2015</w:t>
            </w:r>
          </w:p>
        </w:tc>
      </w:tr>
      <w:tr w14:paraId="71DA2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37646E58">
            <w:pPr>
              <w:spacing w:line="560" w:lineRule="exact"/>
              <w:jc w:val="center"/>
              <w:rPr>
                <w:rFonts w:eastAsia="仿宋_GB2312" w:cs="仿宋_GB2312"/>
                <w:color w:val="000000"/>
                <w:szCs w:val="21"/>
              </w:rPr>
            </w:pPr>
            <w:r>
              <w:rPr>
                <w:rFonts w:hint="eastAsia" w:eastAsia="仿宋_GB2312" w:cs="仿宋_GB2312"/>
                <w:color w:val="000000"/>
                <w:szCs w:val="21"/>
              </w:rPr>
              <w:t>12</w:t>
            </w:r>
          </w:p>
        </w:tc>
        <w:tc>
          <w:tcPr>
            <w:tcW w:w="2041" w:type="pct"/>
            <w:vAlign w:val="center"/>
          </w:tcPr>
          <w:p w14:paraId="22E9F9D1">
            <w:pPr>
              <w:spacing w:line="560" w:lineRule="exact"/>
              <w:jc w:val="center"/>
              <w:rPr>
                <w:rFonts w:eastAsia="仿宋_GB2312" w:cs="仿宋_GB2312"/>
                <w:color w:val="000000"/>
                <w:szCs w:val="21"/>
              </w:rPr>
            </w:pPr>
            <w:r>
              <w:rPr>
                <w:rFonts w:hint="eastAsia" w:eastAsia="仿宋_GB2312" w:cs="仿宋_GB2312"/>
                <w:szCs w:val="21"/>
              </w:rPr>
              <w:t>金属针</w:t>
            </w:r>
            <w:r>
              <w:rPr>
                <w:rFonts w:hint="eastAsia" w:cs="仿宋_GB2312"/>
                <w:szCs w:val="21"/>
                <w:vertAlign w:val="superscript"/>
              </w:rPr>
              <w:t>a</w:t>
            </w:r>
          </w:p>
        </w:tc>
        <w:tc>
          <w:tcPr>
            <w:tcW w:w="2441" w:type="pct"/>
            <w:vAlign w:val="center"/>
          </w:tcPr>
          <w:p w14:paraId="05218439">
            <w:pPr>
              <w:spacing w:line="560" w:lineRule="exact"/>
              <w:jc w:val="center"/>
              <w:rPr>
                <w:rFonts w:eastAsia="仿宋_GB2312" w:cs="仿宋_GB2312"/>
                <w:color w:val="000000"/>
                <w:szCs w:val="21"/>
                <w:lang w:bidi="ar"/>
              </w:rPr>
            </w:pPr>
            <w:r>
              <w:rPr>
                <w:rFonts w:hint="eastAsia" w:eastAsia="仿宋_GB2312" w:cs="仿宋_GB2312"/>
                <w:szCs w:val="21"/>
              </w:rPr>
              <w:t xml:space="preserve">GB 31701—2015 </w:t>
            </w:r>
          </w:p>
        </w:tc>
      </w:tr>
      <w:tr w14:paraId="12875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585CE26C">
            <w:pPr>
              <w:spacing w:line="560" w:lineRule="exact"/>
              <w:jc w:val="center"/>
              <w:rPr>
                <w:rFonts w:eastAsia="仿宋_GB2312" w:cs="仿宋_GB2312"/>
                <w:color w:val="000000"/>
                <w:szCs w:val="21"/>
              </w:rPr>
            </w:pPr>
            <w:r>
              <w:rPr>
                <w:rFonts w:hint="eastAsia" w:eastAsia="仿宋_GB2312" w:cs="仿宋_GB2312"/>
                <w:color w:val="000000"/>
                <w:szCs w:val="21"/>
              </w:rPr>
              <w:t>13</w:t>
            </w:r>
          </w:p>
        </w:tc>
        <w:tc>
          <w:tcPr>
            <w:tcW w:w="2041" w:type="pct"/>
            <w:vAlign w:val="center"/>
          </w:tcPr>
          <w:p w14:paraId="7E67222C">
            <w:pPr>
              <w:spacing w:line="520" w:lineRule="exact"/>
              <w:jc w:val="center"/>
              <w:rPr>
                <w:rFonts w:eastAsia="仿宋_GB2312" w:cs="仿宋_GB2312"/>
                <w:szCs w:val="21"/>
              </w:rPr>
            </w:pPr>
            <w:r>
              <w:rPr>
                <w:rFonts w:hint="eastAsia" w:eastAsia="仿宋_GB2312" w:cs="仿宋_GB2312"/>
                <w:szCs w:val="21"/>
              </w:rPr>
              <w:t>絮用纤维原料要求/生活用絮用纤维制品技术要求</w:t>
            </w:r>
            <w:r>
              <w:rPr>
                <w:rFonts w:hint="eastAsia" w:eastAsia="仿宋_GB2312" w:cs="仿宋_GB2312"/>
                <w:szCs w:val="21"/>
                <w:vertAlign w:val="superscript"/>
              </w:rPr>
              <w:t>b</w:t>
            </w:r>
          </w:p>
        </w:tc>
        <w:tc>
          <w:tcPr>
            <w:tcW w:w="2441" w:type="pct"/>
            <w:vAlign w:val="center"/>
          </w:tcPr>
          <w:p w14:paraId="5596E320">
            <w:pPr>
              <w:spacing w:line="520" w:lineRule="exact"/>
              <w:jc w:val="center"/>
              <w:rPr>
                <w:rFonts w:cs="仿宋_GB2312"/>
                <w:szCs w:val="21"/>
              </w:rPr>
            </w:pPr>
            <w:r>
              <w:rPr>
                <w:rFonts w:hint="eastAsia" w:cs="仿宋_GB2312"/>
                <w:szCs w:val="21"/>
              </w:rPr>
              <w:t>GB 18383—2007</w:t>
            </w:r>
          </w:p>
          <w:p w14:paraId="18942742">
            <w:pPr>
              <w:spacing w:line="520" w:lineRule="exact"/>
              <w:jc w:val="center"/>
              <w:rPr>
                <w:rFonts w:cs="仿宋_GB2312"/>
                <w:szCs w:val="21"/>
              </w:rPr>
            </w:pPr>
            <w:r>
              <w:rPr>
                <w:rFonts w:hint="eastAsia" w:cs="仿宋_GB2312"/>
                <w:szCs w:val="21"/>
              </w:rPr>
              <w:t>GB 18383—2025</w:t>
            </w:r>
          </w:p>
          <w:p w14:paraId="06B2C049">
            <w:pPr>
              <w:spacing w:line="520" w:lineRule="exact"/>
              <w:jc w:val="center"/>
              <w:rPr>
                <w:rFonts w:eastAsia="仿宋_GB2312" w:cs="仿宋_GB2312"/>
                <w:color w:val="000000"/>
                <w:szCs w:val="21"/>
                <w:lang w:bidi="ar"/>
              </w:rPr>
            </w:pPr>
            <w:r>
              <w:rPr>
                <w:rFonts w:hint="eastAsia" w:cs="仿宋_GB2312"/>
                <w:szCs w:val="21"/>
              </w:rPr>
              <w:t>GB/T 43811—2024</w:t>
            </w:r>
          </w:p>
        </w:tc>
      </w:tr>
      <w:tr w14:paraId="0479C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6C50DF1F">
            <w:pPr>
              <w:spacing w:line="560" w:lineRule="exact"/>
              <w:jc w:val="center"/>
              <w:rPr>
                <w:rFonts w:eastAsia="仿宋_GB2312" w:cs="仿宋_GB2312"/>
                <w:color w:val="000000"/>
                <w:szCs w:val="21"/>
              </w:rPr>
            </w:pPr>
            <w:r>
              <w:rPr>
                <w:rFonts w:hint="eastAsia" w:cs="仿宋_GB2312"/>
                <w:szCs w:val="21"/>
              </w:rPr>
              <w:t>14</w:t>
            </w:r>
          </w:p>
        </w:tc>
        <w:tc>
          <w:tcPr>
            <w:tcW w:w="2041" w:type="pct"/>
            <w:vAlign w:val="center"/>
          </w:tcPr>
          <w:p w14:paraId="758C91FC">
            <w:pPr>
              <w:spacing w:line="520" w:lineRule="exact"/>
              <w:jc w:val="center"/>
              <w:rPr>
                <w:rFonts w:hint="eastAsia" w:ascii="仿宋" w:hAnsi="仿宋" w:eastAsia="仿宋" w:cs="仿宋"/>
                <w:szCs w:val="21"/>
              </w:rPr>
            </w:pPr>
            <w:r>
              <w:rPr>
                <w:rFonts w:hint="eastAsia" w:ascii="仿宋" w:hAnsi="仿宋" w:eastAsia="仿宋" w:cs="仿宋"/>
                <w:szCs w:val="21"/>
              </w:rPr>
              <w:t>绒子含量</w:t>
            </w:r>
          </w:p>
        </w:tc>
        <w:tc>
          <w:tcPr>
            <w:tcW w:w="2441" w:type="pct"/>
            <w:vAlign w:val="center"/>
          </w:tcPr>
          <w:p w14:paraId="2CC955C7">
            <w:pPr>
              <w:spacing w:line="520" w:lineRule="exact"/>
              <w:jc w:val="center"/>
              <w:rPr>
                <w:rFonts w:eastAsia="仿宋_GB2312" w:cs="仿宋_GB2312"/>
                <w:szCs w:val="21"/>
              </w:rPr>
            </w:pPr>
            <w:r>
              <w:rPr>
                <w:rFonts w:hint="eastAsia" w:eastAsia="仿宋_GB2312" w:cs="仿宋_GB2312"/>
                <w:szCs w:val="21"/>
              </w:rPr>
              <w:t>GB/T 14272—2021</w:t>
            </w:r>
          </w:p>
          <w:p w14:paraId="42EC760E">
            <w:pPr>
              <w:spacing w:line="520" w:lineRule="exact"/>
              <w:jc w:val="center"/>
              <w:rPr>
                <w:rFonts w:eastAsia="仿宋_GB2312" w:cs="仿宋_GB2312"/>
                <w:color w:val="000000"/>
                <w:szCs w:val="21"/>
              </w:rPr>
            </w:pPr>
            <w:r>
              <w:rPr>
                <w:rFonts w:hint="eastAsia" w:eastAsia="仿宋_GB2312" w:cs="仿宋_GB2312"/>
                <w:szCs w:val="21"/>
              </w:rPr>
              <w:t>GB/T 10288—2016</w:t>
            </w:r>
          </w:p>
        </w:tc>
      </w:tr>
      <w:tr w14:paraId="3D4B4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4F68103F">
            <w:pPr>
              <w:spacing w:line="560" w:lineRule="exact"/>
              <w:jc w:val="center"/>
              <w:rPr>
                <w:rFonts w:eastAsia="仿宋_GB2312" w:cs="仿宋_GB2312"/>
                <w:color w:val="000000"/>
                <w:szCs w:val="21"/>
              </w:rPr>
            </w:pPr>
            <w:r>
              <w:rPr>
                <w:rFonts w:hint="eastAsia" w:cs="仿宋_GB2312"/>
                <w:szCs w:val="21"/>
              </w:rPr>
              <w:t>15</w:t>
            </w:r>
          </w:p>
        </w:tc>
        <w:tc>
          <w:tcPr>
            <w:tcW w:w="2041" w:type="pct"/>
            <w:vAlign w:val="center"/>
          </w:tcPr>
          <w:p w14:paraId="66440ECF">
            <w:pPr>
              <w:spacing w:line="520" w:lineRule="exact"/>
              <w:jc w:val="center"/>
              <w:rPr>
                <w:rFonts w:hint="eastAsia" w:ascii="仿宋" w:hAnsi="仿宋" w:eastAsia="仿宋" w:cs="仿宋"/>
                <w:szCs w:val="21"/>
              </w:rPr>
            </w:pPr>
            <w:r>
              <w:rPr>
                <w:rFonts w:hint="eastAsia" w:ascii="仿宋" w:hAnsi="仿宋" w:eastAsia="仿宋" w:cs="仿宋"/>
                <w:szCs w:val="21"/>
              </w:rPr>
              <w:t>绒丝+羽丝</w:t>
            </w:r>
          </w:p>
        </w:tc>
        <w:tc>
          <w:tcPr>
            <w:tcW w:w="2441" w:type="pct"/>
            <w:vAlign w:val="center"/>
          </w:tcPr>
          <w:p w14:paraId="5BF917CE">
            <w:pPr>
              <w:spacing w:line="520" w:lineRule="exact"/>
              <w:jc w:val="center"/>
              <w:rPr>
                <w:rFonts w:eastAsia="仿宋_GB2312" w:cs="仿宋_GB2312"/>
                <w:szCs w:val="21"/>
              </w:rPr>
            </w:pPr>
            <w:r>
              <w:rPr>
                <w:rFonts w:hint="eastAsia" w:eastAsia="仿宋_GB2312" w:cs="仿宋_GB2312"/>
                <w:szCs w:val="21"/>
              </w:rPr>
              <w:t>GB/T 10288—2016</w:t>
            </w:r>
          </w:p>
          <w:p w14:paraId="7E13164B">
            <w:pPr>
              <w:spacing w:line="520" w:lineRule="exact"/>
              <w:jc w:val="center"/>
              <w:rPr>
                <w:rFonts w:eastAsia="仿宋_GB2312" w:cs="仿宋_GB2312"/>
                <w:color w:val="000000"/>
                <w:szCs w:val="21"/>
              </w:rPr>
            </w:pPr>
            <w:r>
              <w:rPr>
                <w:rFonts w:hint="eastAsia" w:eastAsia="仿宋_GB2312" w:cs="仿宋_GB2312"/>
                <w:szCs w:val="21"/>
              </w:rPr>
              <w:t>GB/T 14272—2021</w:t>
            </w:r>
          </w:p>
        </w:tc>
      </w:tr>
      <w:tr w14:paraId="6B078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0B0932F5">
            <w:pPr>
              <w:spacing w:line="560" w:lineRule="exact"/>
              <w:jc w:val="center"/>
              <w:rPr>
                <w:rFonts w:eastAsia="仿宋_GB2312" w:cs="仿宋_GB2312"/>
                <w:color w:val="000000"/>
                <w:szCs w:val="21"/>
              </w:rPr>
            </w:pPr>
            <w:r>
              <w:rPr>
                <w:rFonts w:hint="eastAsia" w:cs="仿宋_GB2312"/>
                <w:szCs w:val="21"/>
              </w:rPr>
              <w:t>16</w:t>
            </w:r>
          </w:p>
        </w:tc>
        <w:tc>
          <w:tcPr>
            <w:tcW w:w="2041" w:type="pct"/>
            <w:vAlign w:val="center"/>
          </w:tcPr>
          <w:p w14:paraId="7AF49CF1">
            <w:pPr>
              <w:spacing w:line="520" w:lineRule="exact"/>
              <w:jc w:val="center"/>
              <w:rPr>
                <w:rFonts w:hint="eastAsia" w:ascii="仿宋" w:hAnsi="仿宋" w:eastAsia="仿宋" w:cs="仿宋"/>
                <w:szCs w:val="21"/>
              </w:rPr>
            </w:pPr>
            <w:r>
              <w:rPr>
                <w:rFonts w:hint="eastAsia" w:ascii="仿宋" w:hAnsi="仿宋" w:eastAsia="仿宋" w:cs="仿宋"/>
                <w:szCs w:val="21"/>
              </w:rPr>
              <w:t>鹅毛绒含量</w:t>
            </w:r>
          </w:p>
        </w:tc>
        <w:tc>
          <w:tcPr>
            <w:tcW w:w="2441" w:type="pct"/>
            <w:vAlign w:val="center"/>
          </w:tcPr>
          <w:p w14:paraId="1535D5BF">
            <w:pPr>
              <w:spacing w:line="560" w:lineRule="exact"/>
              <w:jc w:val="center"/>
              <w:rPr>
                <w:rFonts w:eastAsia="仿宋_GB2312" w:cs="仿宋_GB2312"/>
                <w:szCs w:val="21"/>
              </w:rPr>
            </w:pPr>
            <w:r>
              <w:rPr>
                <w:rFonts w:hint="eastAsia" w:eastAsia="仿宋_GB2312" w:cs="仿宋_GB2312"/>
                <w:szCs w:val="21"/>
              </w:rPr>
              <w:t>GB/T 10288—2016</w:t>
            </w:r>
          </w:p>
          <w:p w14:paraId="4D55AE2B">
            <w:pPr>
              <w:spacing w:line="560" w:lineRule="exact"/>
              <w:jc w:val="center"/>
              <w:rPr>
                <w:rFonts w:eastAsia="仿宋_GB2312" w:cs="仿宋_GB2312"/>
                <w:color w:val="000000"/>
                <w:szCs w:val="21"/>
              </w:rPr>
            </w:pPr>
            <w:r>
              <w:rPr>
                <w:rFonts w:hint="eastAsia" w:eastAsia="仿宋_GB2312" w:cs="仿宋_GB2312"/>
                <w:szCs w:val="21"/>
              </w:rPr>
              <w:t>GB/T 14272—2021</w:t>
            </w:r>
          </w:p>
        </w:tc>
      </w:tr>
      <w:tr w14:paraId="385A6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17" w:type="pct"/>
            <w:vAlign w:val="center"/>
          </w:tcPr>
          <w:p w14:paraId="19E47EB5">
            <w:pPr>
              <w:spacing w:line="560" w:lineRule="exact"/>
              <w:jc w:val="center"/>
              <w:rPr>
                <w:rFonts w:eastAsia="仿宋_GB2312" w:cs="仿宋_GB2312"/>
                <w:color w:val="000000"/>
                <w:szCs w:val="21"/>
              </w:rPr>
            </w:pPr>
            <w:r>
              <w:rPr>
                <w:rFonts w:hint="eastAsia" w:cs="仿宋_GB2312"/>
                <w:szCs w:val="21"/>
              </w:rPr>
              <w:t>17</w:t>
            </w:r>
          </w:p>
        </w:tc>
        <w:tc>
          <w:tcPr>
            <w:tcW w:w="2041" w:type="pct"/>
            <w:vAlign w:val="center"/>
          </w:tcPr>
          <w:p w14:paraId="6DDD9794">
            <w:pPr>
              <w:spacing w:line="520" w:lineRule="exact"/>
              <w:jc w:val="center"/>
              <w:rPr>
                <w:rFonts w:hint="eastAsia" w:ascii="仿宋" w:hAnsi="仿宋" w:eastAsia="仿宋" w:cs="仿宋"/>
                <w:szCs w:val="21"/>
              </w:rPr>
            </w:pPr>
            <w:r>
              <w:rPr>
                <w:rFonts w:hint="eastAsia" w:ascii="仿宋" w:hAnsi="仿宋" w:eastAsia="仿宋" w:cs="仿宋"/>
                <w:szCs w:val="21"/>
              </w:rPr>
              <w:t>产品使用说明（标识）</w:t>
            </w:r>
          </w:p>
        </w:tc>
        <w:tc>
          <w:tcPr>
            <w:tcW w:w="2441" w:type="pct"/>
            <w:vAlign w:val="center"/>
          </w:tcPr>
          <w:p w14:paraId="690D00F3">
            <w:pPr>
              <w:pStyle w:val="2"/>
              <w:spacing w:line="500" w:lineRule="exact"/>
              <w:ind w:left="0" w:leftChars="0"/>
              <w:jc w:val="center"/>
              <w:rPr>
                <w:szCs w:val="21"/>
              </w:rPr>
            </w:pPr>
            <w:r>
              <w:rPr>
                <w:rFonts w:hint="eastAsia"/>
                <w:szCs w:val="21"/>
              </w:rPr>
              <w:t>GB/T 5296.4</w:t>
            </w:r>
            <w:r>
              <w:rPr>
                <w:rFonts w:hint="eastAsia" w:eastAsia="仿宋_GB2312"/>
                <w:szCs w:val="21"/>
              </w:rPr>
              <w:t>—</w:t>
            </w:r>
            <w:r>
              <w:rPr>
                <w:rFonts w:hint="eastAsia"/>
                <w:szCs w:val="21"/>
              </w:rPr>
              <w:t>2012</w:t>
            </w:r>
          </w:p>
          <w:p w14:paraId="32EA519B">
            <w:pPr>
              <w:pStyle w:val="2"/>
              <w:spacing w:line="500" w:lineRule="exact"/>
              <w:ind w:left="0" w:leftChars="0"/>
              <w:jc w:val="center"/>
              <w:rPr>
                <w:rFonts w:eastAsia="仿宋_GB2312" w:cs="仿宋_GB2312"/>
                <w:szCs w:val="21"/>
              </w:rPr>
            </w:pPr>
            <w:r>
              <w:rPr>
                <w:rFonts w:hint="eastAsia" w:eastAsia="仿宋_GB2312" w:cs="仿宋_GB2312"/>
                <w:szCs w:val="21"/>
              </w:rPr>
              <w:t>GB 18401—2010</w:t>
            </w:r>
          </w:p>
          <w:p w14:paraId="62496D4A">
            <w:pPr>
              <w:pStyle w:val="2"/>
              <w:spacing w:line="500" w:lineRule="exact"/>
              <w:ind w:left="0" w:leftChars="0"/>
              <w:jc w:val="center"/>
              <w:rPr>
                <w:rFonts w:eastAsia="仿宋_GB2312"/>
                <w:szCs w:val="21"/>
              </w:rPr>
            </w:pPr>
            <w:r>
              <w:rPr>
                <w:rFonts w:hint="eastAsia" w:eastAsia="仿宋_GB2312"/>
                <w:szCs w:val="21"/>
              </w:rPr>
              <w:t>GB 31701—2015</w:t>
            </w:r>
          </w:p>
          <w:p w14:paraId="35F2A2C0">
            <w:pPr>
              <w:spacing w:line="500" w:lineRule="exact"/>
              <w:jc w:val="center"/>
              <w:rPr>
                <w:rFonts w:eastAsia="仿宋_GB2312" w:cs="仿宋_GB2312"/>
                <w:color w:val="000000"/>
                <w:szCs w:val="21"/>
              </w:rPr>
            </w:pPr>
            <w:r>
              <w:rPr>
                <w:rFonts w:hint="eastAsia"/>
                <w:szCs w:val="21"/>
              </w:rPr>
              <w:t>相应产品标准</w:t>
            </w:r>
          </w:p>
        </w:tc>
      </w:tr>
      <w:tr w14:paraId="3340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5000" w:type="pct"/>
            <w:gridSpan w:val="3"/>
            <w:vAlign w:val="center"/>
          </w:tcPr>
          <w:p w14:paraId="7ED56B9B">
            <w:pPr>
              <w:spacing w:line="280" w:lineRule="exact"/>
              <w:jc w:val="left"/>
            </w:pPr>
            <w:r>
              <w:rPr>
                <w:rFonts w:hint="eastAsia"/>
                <w:szCs w:val="21"/>
              </w:rPr>
              <w:t>备注：</w:t>
            </w:r>
          </w:p>
          <w:p w14:paraId="5C8E17F0">
            <w:pPr>
              <w:pStyle w:val="2"/>
              <w:ind w:left="0" w:leftChars="0"/>
            </w:pPr>
            <w:r>
              <w:rPr>
                <w:rFonts w:hint="eastAsia"/>
              </w:rPr>
              <w:t>1.</w:t>
            </w:r>
            <w:r>
              <w:rPr>
                <w:rFonts w:hint="eastAsia"/>
                <w:vertAlign w:val="superscript"/>
              </w:rPr>
              <w:t>a</w:t>
            </w:r>
            <w:r>
              <w:rPr>
                <w:rFonts w:hint="eastAsia"/>
              </w:rPr>
              <w:t>儿童及婴幼儿产品按对应的安全技术类别指标检验此项目。</w:t>
            </w:r>
          </w:p>
          <w:p w14:paraId="52392B20">
            <w:pPr>
              <w:pStyle w:val="2"/>
              <w:ind w:left="0" w:leftChars="0"/>
            </w:pPr>
            <w:r>
              <w:rPr>
                <w:rFonts w:hint="eastAsia"/>
              </w:rPr>
              <w:t>2.</w:t>
            </w:r>
            <w:r>
              <w:rPr>
                <w:rFonts w:hint="eastAsia"/>
                <w:vertAlign w:val="superscript"/>
              </w:rPr>
              <w:t>b</w:t>
            </w:r>
            <w:r>
              <w:rPr>
                <w:rFonts w:hint="eastAsia"/>
              </w:rPr>
              <w:t>适用GB 18383—2007的产品考核GB 18383—2007 4.1.4、4.1.5、4.1.6；适用GB 18383—2025的产品考核GB 18383—2025 4.3.1、4.3.2、4.3.3。</w:t>
            </w:r>
          </w:p>
          <w:p w14:paraId="76385BC4">
            <w:pPr>
              <w:spacing w:line="280" w:lineRule="exact"/>
              <w:jc w:val="left"/>
              <w:rPr>
                <w:szCs w:val="21"/>
              </w:rPr>
            </w:pPr>
            <w:r>
              <w:rPr>
                <w:rFonts w:hint="eastAsia"/>
              </w:rPr>
              <w:t>3</w:t>
            </w:r>
            <w:r>
              <w:rPr>
                <w:rFonts w:hint="eastAsia"/>
                <w:szCs w:val="21"/>
              </w:rPr>
              <w:t>.产品使用说明标注的纤维含量不一致时，应以耐久标签标注的纤维含量进行考核。如果未标注产品主要原材料的纤维成分和含量，则纤维含量项目不判定，判定产品使用说明（标识）不合格。</w:t>
            </w:r>
          </w:p>
          <w:p w14:paraId="6B2552AE">
            <w:pPr>
              <w:spacing w:line="280" w:lineRule="exact"/>
              <w:jc w:val="left"/>
              <w:rPr>
                <w:szCs w:val="21"/>
              </w:rPr>
            </w:pPr>
            <w:r>
              <w:rPr>
                <w:rFonts w:hint="eastAsia"/>
                <w:szCs w:val="21"/>
              </w:rPr>
              <w:t>4.考虑到样品存在的不均匀性和检验的可靠性，样品中检测出微量其他纤维（未明示）时，如果其他纤维（未明示）的含量≤0.5%，或样品明示含微量其他纤维而未检出时，该微量其他纤维不计入总量进行判定。</w:t>
            </w:r>
          </w:p>
          <w:p w14:paraId="11E1CD62">
            <w:pPr>
              <w:spacing w:line="280" w:lineRule="exact"/>
              <w:jc w:val="left"/>
              <w:rPr>
                <w:szCs w:val="21"/>
              </w:rPr>
            </w:pPr>
            <w:r>
              <w:rPr>
                <w:rFonts w:hint="eastAsia"/>
                <w:szCs w:val="21"/>
              </w:rPr>
              <w:t>4.色牢度试验采用单纤维贴衬，产品标准另有规定的，按产品标准执行。</w:t>
            </w:r>
          </w:p>
          <w:p w14:paraId="1E90D8EF">
            <w:pPr>
              <w:spacing w:line="280" w:lineRule="exact"/>
              <w:jc w:val="left"/>
              <w:rPr>
                <w:szCs w:val="21"/>
              </w:rPr>
            </w:pPr>
            <w:r>
              <w:rPr>
                <w:rFonts w:hint="eastAsia"/>
                <w:szCs w:val="21"/>
              </w:rPr>
              <w:t>6.针织产品耐摩擦色牢度只考核直向。</w:t>
            </w:r>
          </w:p>
          <w:p w14:paraId="35DF025F">
            <w:pPr>
              <w:spacing w:line="280" w:lineRule="exact"/>
              <w:jc w:val="left"/>
              <w:rPr>
                <w:szCs w:val="21"/>
              </w:rPr>
            </w:pPr>
            <w:r>
              <w:rPr>
                <w:rFonts w:hint="eastAsia"/>
                <w:szCs w:val="21"/>
              </w:rPr>
              <w:t>7.产品未标注产品标准，标注产品标准不正确，或者无法获得明示的有效企业标准时，检测纤维含量、产品使用说明（标识）以及强制性标准相关项目。</w:t>
            </w:r>
          </w:p>
          <w:p w14:paraId="476ABD2B">
            <w:pPr>
              <w:jc w:val="left"/>
              <w:rPr>
                <w:szCs w:val="21"/>
              </w:rPr>
            </w:pPr>
            <w:r>
              <w:rPr>
                <w:rFonts w:hint="eastAsia"/>
                <w:szCs w:val="21"/>
              </w:rPr>
              <w:t>8.pH值的测定用0.1 mol/L 氯化钾溶液作为萃取介质。</w:t>
            </w:r>
          </w:p>
          <w:p w14:paraId="64E7FF79">
            <w:pPr>
              <w:jc w:val="left"/>
              <w:rPr>
                <w:szCs w:val="21"/>
              </w:rPr>
            </w:pPr>
            <w:r>
              <w:rPr>
                <w:rFonts w:hint="eastAsia"/>
                <w:szCs w:val="21"/>
              </w:rPr>
              <w:t>9.只检测产品相应标准中有考核要求的项目。</w:t>
            </w:r>
          </w:p>
        </w:tc>
      </w:tr>
    </w:tbl>
    <w:p w14:paraId="53E76973">
      <w:pPr>
        <w:snapToGrid w:val="0"/>
        <w:spacing w:line="560" w:lineRule="exact"/>
        <w:ind w:firstLine="547" w:firstLineChars="171"/>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执行企业标准、团体标准、地方标准的产品，检验项目参照上述内容执行。</w:t>
      </w:r>
    </w:p>
    <w:p w14:paraId="6FC53FB5">
      <w:pPr>
        <w:snapToGrid w:val="0"/>
        <w:spacing w:line="560" w:lineRule="exact"/>
        <w:ind w:firstLine="547" w:firstLineChars="171"/>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跟踪抽查的检验项目以不合格项目为主；跟踪抽查的检验项目如少于上述检验项目，须经组织监督抽查（或印发监督抽查方案）的市场监管部门同意；跟踪抽查的检验项目须同时符合如下要求：1.检验项目原则上与上述常规抽查的检验项目一致；2.检验项目的数量必须与抽样量相匹配（与检验项目有关的样品量不可控、不可预测的除外）；3.不合格项目以外的其他检验项目必须优先选择‘（1）涉及人体健康（人身财产安全）、（2）存在前后检验关系、（3）被跟踪抽查产品检出值更接近标准值’的项目（（1）优先于（2），（2）优先于（3））；4.具体检验项目须写入“抽样单”备注处；5.检验人员可以根据实际检验情况调减不合格项目以外的其他检验项目（原则上按上述（3）、（2）、（1）的顺序调减（部分拟调减的项目已检验的除外），须经组织监督抽查（或印发监督抽查方案）的市场监管部门同意）。</w:t>
      </w:r>
    </w:p>
    <w:p w14:paraId="7D2A0846">
      <w:pPr>
        <w:snapToGrid w:val="0"/>
        <w:spacing w:line="560" w:lineRule="exact"/>
        <w:ind w:firstLine="547" w:firstLineChars="171"/>
        <w:rPr>
          <w:rFonts w:hint="eastAsia" w:ascii="仿宋_GB2312" w:hAnsi="仿宋_GB2312" w:eastAsia="仿宋_GB2312" w:cs="仿宋_GB2312"/>
          <w:sz w:val="32"/>
          <w:szCs w:val="32"/>
        </w:rPr>
      </w:pPr>
      <w:r>
        <w:rPr>
          <w:rFonts w:eastAsia="仿宋_GB2312"/>
          <w:sz w:val="32"/>
          <w:szCs w:val="32"/>
        </w:rPr>
        <w:t>凡是注日期的文件，其随后所有的修改单（不包括勘误的内容）或修订版不适用于本细则。凡是不注日期的文件，其最新版本适用于本细则。</w:t>
      </w:r>
    </w:p>
    <w:p w14:paraId="508C59A5">
      <w:pPr>
        <w:spacing w:line="560" w:lineRule="exact"/>
        <w:ind w:firstLine="640" w:firstLineChars="200"/>
        <w:rPr>
          <w:rFonts w:hint="eastAsia" w:ascii="黑体" w:hAnsi="黑体" w:eastAsia="黑体" w:cs="黑体"/>
          <w:sz w:val="32"/>
          <w:szCs w:val="32"/>
        </w:rPr>
      </w:pPr>
    </w:p>
    <w:p w14:paraId="3357DE4B">
      <w:pPr>
        <w:spacing w:line="56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3 判定规则</w:t>
      </w:r>
    </w:p>
    <w:p w14:paraId="4CF7A46F">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3.1依据标准</w:t>
      </w:r>
    </w:p>
    <w:p w14:paraId="536C1136">
      <w:pPr>
        <w:spacing w:line="560" w:lineRule="exact"/>
        <w:ind w:firstLine="320" w:firstLineChars="100"/>
        <w:rPr>
          <w:rFonts w:cs="仿宋_GB2312"/>
          <w:sz w:val="32"/>
          <w:szCs w:val="40"/>
        </w:rPr>
      </w:pPr>
      <w:r>
        <w:rPr>
          <w:rFonts w:hint="eastAsia" w:eastAsia="仿宋_GB2312" w:cs="仿宋_GB2312"/>
          <w:sz w:val="32"/>
          <w:szCs w:val="40"/>
        </w:rPr>
        <w:t>GB 18401—2010 国家纺织产品基本安全技术规范</w:t>
      </w:r>
      <w:r>
        <w:rPr>
          <w:rFonts w:hint="eastAsia" w:cs="仿宋_GB2312"/>
          <w:sz w:val="32"/>
          <w:szCs w:val="40"/>
        </w:rPr>
        <w:t xml:space="preserve">  </w:t>
      </w:r>
    </w:p>
    <w:p w14:paraId="73DD2B1E">
      <w:pPr>
        <w:spacing w:line="560" w:lineRule="exact"/>
        <w:ind w:firstLine="320" w:firstLineChars="100"/>
        <w:rPr>
          <w:rFonts w:eastAsia="仿宋_GB2312" w:cs="仿宋_GB2312"/>
          <w:sz w:val="32"/>
          <w:szCs w:val="40"/>
        </w:rPr>
      </w:pPr>
      <w:r>
        <w:rPr>
          <w:rFonts w:hint="eastAsia" w:eastAsia="仿宋_GB2312" w:cs="仿宋_GB2312"/>
          <w:sz w:val="32"/>
          <w:szCs w:val="40"/>
        </w:rPr>
        <w:t>GB 31701—2015 婴幼儿及儿童纺织产品安全技术规范</w:t>
      </w:r>
    </w:p>
    <w:p w14:paraId="06CC0A53">
      <w:pPr>
        <w:spacing w:line="560" w:lineRule="exact"/>
        <w:ind w:firstLine="320" w:firstLineChars="100"/>
        <w:rPr>
          <w:rFonts w:eastAsia="仿宋_GB2312" w:cs="仿宋_GB2312"/>
          <w:sz w:val="32"/>
          <w:szCs w:val="40"/>
        </w:rPr>
      </w:pPr>
      <w:r>
        <w:rPr>
          <w:rFonts w:hint="eastAsia" w:eastAsia="仿宋_GB2312" w:cs="仿宋_GB2312"/>
          <w:sz w:val="32"/>
          <w:szCs w:val="40"/>
        </w:rPr>
        <w:t>GB/T 5296.4—2012消费品使用说明 第4部分：纺织品和服装</w:t>
      </w:r>
    </w:p>
    <w:p w14:paraId="5CB4BF55">
      <w:pPr>
        <w:spacing w:line="600" w:lineRule="exact"/>
        <w:ind w:firstLine="320" w:firstLineChars="100"/>
        <w:rPr>
          <w:rFonts w:eastAsia="仿宋_GB2312" w:cs="仿宋_GB2312"/>
          <w:sz w:val="32"/>
          <w:szCs w:val="40"/>
        </w:rPr>
      </w:pPr>
      <w:r>
        <w:rPr>
          <w:rFonts w:hint="eastAsia" w:eastAsia="仿宋_GB2312" w:cs="仿宋_GB2312"/>
          <w:sz w:val="32"/>
          <w:szCs w:val="40"/>
        </w:rPr>
        <w:t>GB 18383—2025</w:t>
      </w:r>
      <w:r>
        <w:rPr>
          <w:rFonts w:hint="eastAsia" w:cs="仿宋_GB2312"/>
          <w:sz w:val="32"/>
          <w:szCs w:val="40"/>
        </w:rPr>
        <w:t xml:space="preserve"> </w:t>
      </w:r>
      <w:r>
        <w:rPr>
          <w:rFonts w:hint="eastAsia" w:eastAsia="仿宋_GB2312" w:cs="仿宋_GB2312"/>
          <w:sz w:val="32"/>
          <w:szCs w:val="40"/>
        </w:rPr>
        <w:t>絮用纤维制品通用技术要求</w:t>
      </w:r>
    </w:p>
    <w:p w14:paraId="1D1D0E07">
      <w:pPr>
        <w:spacing w:line="560" w:lineRule="exact"/>
        <w:ind w:firstLine="320" w:firstLineChars="100"/>
        <w:rPr>
          <w:rFonts w:eastAsia="仿宋_GB2312" w:cs="仿宋_GB2312"/>
          <w:sz w:val="32"/>
          <w:szCs w:val="40"/>
        </w:rPr>
      </w:pPr>
      <w:r>
        <w:rPr>
          <w:rFonts w:hint="eastAsia" w:eastAsia="仿宋_GB2312" w:cs="仿宋_GB2312"/>
          <w:sz w:val="32"/>
          <w:szCs w:val="40"/>
        </w:rPr>
        <w:t>GB 18383—2007 絮用纤维制品通用技术要求</w:t>
      </w:r>
    </w:p>
    <w:p w14:paraId="7EAFD677">
      <w:pPr>
        <w:spacing w:line="560" w:lineRule="exact"/>
        <w:ind w:firstLine="320" w:firstLineChars="100"/>
        <w:rPr>
          <w:rFonts w:eastAsia="仿宋_GB2312" w:cs="仿宋_GB2312"/>
          <w:sz w:val="32"/>
          <w:szCs w:val="40"/>
        </w:rPr>
      </w:pPr>
      <w:r>
        <w:rPr>
          <w:rFonts w:hint="eastAsia" w:eastAsia="仿宋_GB2312" w:cs="仿宋_GB2312"/>
          <w:sz w:val="32"/>
          <w:szCs w:val="40"/>
        </w:rPr>
        <w:t>GB/T 22854—2009 针织学生服</w:t>
      </w:r>
    </w:p>
    <w:p w14:paraId="3AC38EB7">
      <w:pPr>
        <w:spacing w:line="560" w:lineRule="exact"/>
        <w:ind w:firstLine="320" w:firstLineChars="100"/>
        <w:rPr>
          <w:rFonts w:eastAsia="仿宋_GB2312" w:cs="仿宋_GB2312"/>
          <w:sz w:val="32"/>
          <w:szCs w:val="40"/>
        </w:rPr>
      </w:pPr>
      <w:r>
        <w:rPr>
          <w:rFonts w:hint="eastAsia" w:eastAsia="仿宋_GB2312" w:cs="仿宋_GB2312"/>
          <w:sz w:val="32"/>
          <w:szCs w:val="40"/>
        </w:rPr>
        <w:t>GB/T 23328—2009 机织学生服</w:t>
      </w:r>
    </w:p>
    <w:p w14:paraId="7B46C324">
      <w:pPr>
        <w:spacing w:line="560" w:lineRule="exact"/>
        <w:ind w:firstLine="320" w:firstLineChars="100"/>
        <w:rPr>
          <w:rFonts w:eastAsia="仿宋_GB2312" w:cs="仿宋_GB2312"/>
          <w:sz w:val="32"/>
          <w:szCs w:val="40"/>
        </w:rPr>
      </w:pPr>
      <w:r>
        <w:rPr>
          <w:rFonts w:hint="eastAsia" w:eastAsia="仿宋_GB2312" w:cs="仿宋_GB2312"/>
          <w:sz w:val="32"/>
          <w:szCs w:val="40"/>
        </w:rPr>
        <w:t>GB/T 29862—2013 纺织品 纤维含量的标识</w:t>
      </w:r>
    </w:p>
    <w:p w14:paraId="64B932EA">
      <w:pPr>
        <w:spacing w:line="560" w:lineRule="exact"/>
        <w:ind w:firstLine="320" w:firstLineChars="100"/>
        <w:rPr>
          <w:rFonts w:eastAsia="仿宋_GB2312" w:cs="仿宋_GB2312"/>
          <w:sz w:val="32"/>
          <w:szCs w:val="40"/>
        </w:rPr>
      </w:pPr>
      <w:r>
        <w:rPr>
          <w:rFonts w:hint="eastAsia" w:eastAsia="仿宋_GB2312" w:cs="仿宋_GB2312"/>
          <w:sz w:val="32"/>
          <w:szCs w:val="40"/>
        </w:rPr>
        <w:t>GB/T 31888—2015 中小学生校服</w:t>
      </w:r>
    </w:p>
    <w:p w14:paraId="2FE31825">
      <w:pPr>
        <w:snapToGrid w:val="0"/>
        <w:spacing w:line="560" w:lineRule="exact"/>
        <w:ind w:firstLine="320" w:firstLineChars="1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现行有效的企业标准、团体标准、地方标准及产品明示质量要求</w:t>
      </w:r>
    </w:p>
    <w:p w14:paraId="362214D1">
      <w:pPr>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3.2判定原则</w:t>
      </w:r>
    </w:p>
    <w:p w14:paraId="54855371">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经检验，检验项目全部合格，判定为被抽查产品所检项目未发现不合格；检验项目中任一项或一项以上不合格，判定为被抽查产品不合格。</w:t>
      </w:r>
    </w:p>
    <w:p w14:paraId="19DEF4C3">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若被检产品明示的质量要求高于本细则中检验项目依据的标准要求时，应按被检产品明示的质量要求判定。</w:t>
      </w:r>
    </w:p>
    <w:p w14:paraId="1960A719">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若被检产品明示的质量要求低于本细则中检验项目依据的强制性标准要求时，应按照强制性标准要求判定。</w:t>
      </w:r>
    </w:p>
    <w:p w14:paraId="2BF71DC9">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若被检产品明示的质量要求低于或包含本细则中检验项目依据的推荐性标准要求时，应以被检产品明示的质量要求判定。</w:t>
      </w:r>
    </w:p>
    <w:p w14:paraId="423E683C">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若被检产品明示的质量要求缺少本细则中检验项目依据的强制性标准要求时，应按照强制性标准要求判定。</w:t>
      </w:r>
    </w:p>
    <w:p w14:paraId="6F3192D2">
      <w:pPr>
        <w:snapToGrid w:val="0"/>
        <w:spacing w:line="560" w:lineRule="exact"/>
        <w:ind w:firstLine="636" w:firstLineChars="19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若被检产品明示的质量要求缺少本细则中检验项目依据的推荐性标准要求时，该项目不参与判定。</w:t>
      </w:r>
    </w:p>
    <w:p w14:paraId="2337E479">
      <w:pPr>
        <w:spacing w:line="360" w:lineRule="auto"/>
        <w:ind w:firstLine="560" w:firstLineChars="200"/>
        <w:rPr>
          <w:rFonts w:hint="eastAsia" w:ascii="仿宋" w:hAnsi="仿宋" w:eastAsia="仿宋" w:cs="仿宋"/>
          <w:sz w:val="28"/>
          <w:szCs w:val="28"/>
        </w:rPr>
      </w:pPr>
      <w:bookmarkStart w:id="0" w:name="_GoBack"/>
      <w:bookmarkEnd w:id="0"/>
    </w:p>
    <w:sectPr>
      <w:headerReference r:id="rId3" w:type="default"/>
      <w:footerReference r:id="rId4" w:type="default"/>
      <w:pgSz w:w="11907" w:h="16840"/>
      <w:pgMar w:top="1701" w:right="1418" w:bottom="1701" w:left="1418" w:header="567"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11D51F6-7601-43A2-B1DD-C8E41B488FBF}"/>
  </w:font>
  <w:font w:name="Arial">
    <w:panose1 w:val="020B0604020202020204"/>
    <w:charset w:val="01"/>
    <w:family w:val="swiss"/>
    <w:pitch w:val="default"/>
    <w:sig w:usb0="E0002EFF" w:usb1="C000785B" w:usb2="00000009" w:usb3="00000000" w:csb0="400001FF" w:csb1="FFFF0000"/>
    <w:embedRegular r:id="rId2" w:fontKey="{89EF1D45-4393-40E7-BF0C-BEC46FA8B6C7}"/>
  </w:font>
  <w:font w:name="黑体">
    <w:panose1 w:val="02010609060101010101"/>
    <w:charset w:val="86"/>
    <w:family w:val="auto"/>
    <w:pitch w:val="default"/>
    <w:sig w:usb0="800002BF" w:usb1="38CF7CFA" w:usb2="00000016" w:usb3="00000000" w:csb0="00040001" w:csb1="00000000"/>
    <w:embedRegular r:id="rId3" w:fontKey="{CD8C737B-BA8A-4BC8-A717-EAFB6DFDFBEA}"/>
  </w:font>
  <w:font w:name="Courier New">
    <w:panose1 w:val="02070309020205020404"/>
    <w:charset w:val="01"/>
    <w:family w:val="modern"/>
    <w:pitch w:val="default"/>
    <w:sig w:usb0="E0002EFF" w:usb1="C0007843" w:usb2="00000009" w:usb3="00000000" w:csb0="400001FF" w:csb1="FFFF0000"/>
    <w:embedRegular r:id="rId4" w:fontKey="{7F7AF1C0-71C4-44E7-91DF-0EBF39E466E6}"/>
  </w:font>
  <w:font w:name="Symbol">
    <w:panose1 w:val="05050102010706020507"/>
    <w:charset w:val="02"/>
    <w:family w:val="roman"/>
    <w:pitch w:val="default"/>
    <w:sig w:usb0="00000000" w:usb1="00000000" w:usb2="00000000" w:usb3="00000000" w:csb0="80000000" w:csb1="00000000"/>
    <w:embedRegular r:id="rId5" w:fontKey="{7303C615-CB47-4A8A-AFE8-A65C48486C3D}"/>
  </w:font>
  <w:font w:name="Calibri">
    <w:panose1 w:val="020F0502020204030204"/>
    <w:charset w:val="00"/>
    <w:family w:val="swiss"/>
    <w:pitch w:val="default"/>
    <w:sig w:usb0="E4002EFF" w:usb1="C200247B" w:usb2="00000009" w:usb3="00000000" w:csb0="200001FF" w:csb1="00000000"/>
    <w:embedRegular r:id="rId6" w:fontKey="{D7DD6321-19F7-4D55-91FA-A03E50741754}"/>
  </w:font>
  <w:font w:name="Courier New">
    <w:panose1 w:val="02070309020205020404"/>
    <w:charset w:val="00"/>
    <w:family w:val="modern"/>
    <w:pitch w:val="default"/>
    <w:sig w:usb0="E0002EFF" w:usb1="C0007843" w:usb2="00000009" w:usb3="00000000" w:csb0="400001FF" w:csb1="FFFF0000"/>
    <w:embedRegular r:id="rId7" w:fontKey="{C1292B0F-BD75-4C84-9A43-096327245966}"/>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embedRegular r:id="rId8" w:fontKey="{2983C087-18B3-489B-99FE-D45F36B58B68}"/>
  </w:font>
  <w:font w:name="仿宋_GB2312">
    <w:panose1 w:val="02010609030101010101"/>
    <w:charset w:val="86"/>
    <w:family w:val="modern"/>
    <w:pitch w:val="default"/>
    <w:sig w:usb0="00000001" w:usb1="080E0000" w:usb2="00000000" w:usb3="00000000" w:csb0="00040000" w:csb1="00000000"/>
    <w:embedRegular r:id="rId9" w:fontKey="{9EF67CD3-C00B-4D2D-9861-6F66C988956C}"/>
  </w:font>
  <w:font w:name="仿宋">
    <w:panose1 w:val="02010609060101010101"/>
    <w:charset w:val="86"/>
    <w:family w:val="modern"/>
    <w:pitch w:val="default"/>
    <w:sig w:usb0="800002BF" w:usb1="38CF7CFA" w:usb2="00000016" w:usb3="00000000" w:csb0="00040001" w:csb1="00000000"/>
    <w:embedRegular r:id="rId10" w:fontKey="{DB34498D-CF30-4D3C-803E-F20FC730B4F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FC9BA">
    <w:pPr>
      <w:snapToGrid w:val="0"/>
      <w:spacing w:before="120" w:beforeLines="50"/>
      <w:rPr>
        <w:rFonts w:hint="eastAsia" w:ascii="宋体" w:hAnsi="宋体"/>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F6D84">
    <w:pPr>
      <w:pStyle w:val="8"/>
      <w:pBdr>
        <w:bottom w:val="none" w:color="auto" w:sz="0" w:space="0"/>
      </w:pBdr>
      <w:rPr>
        <w:b/>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doNotDisplayPageBoundaries w:val="1"/>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k3M2U0ZDQ4YzMyZDhlMTI3OWMwYjE2N2QwMmUxMGEifQ=="/>
  </w:docVars>
  <w:rsids>
    <w:rsidRoot w:val="00172A27"/>
    <w:rsid w:val="000020BE"/>
    <w:rsid w:val="00002EA4"/>
    <w:rsid w:val="00026AB7"/>
    <w:rsid w:val="000321D9"/>
    <w:rsid w:val="00033C44"/>
    <w:rsid w:val="000351A4"/>
    <w:rsid w:val="00051A44"/>
    <w:rsid w:val="00054CA3"/>
    <w:rsid w:val="000565BF"/>
    <w:rsid w:val="00062195"/>
    <w:rsid w:val="0006305F"/>
    <w:rsid w:val="0006480C"/>
    <w:rsid w:val="00080B0F"/>
    <w:rsid w:val="00081CBD"/>
    <w:rsid w:val="00091170"/>
    <w:rsid w:val="00094FDF"/>
    <w:rsid w:val="000976DE"/>
    <w:rsid w:val="000B20DE"/>
    <w:rsid w:val="000C23F9"/>
    <w:rsid w:val="000C638E"/>
    <w:rsid w:val="000C6F9E"/>
    <w:rsid w:val="000F086E"/>
    <w:rsid w:val="000F50E2"/>
    <w:rsid w:val="00100E39"/>
    <w:rsid w:val="00121AE9"/>
    <w:rsid w:val="00137B98"/>
    <w:rsid w:val="00145FAF"/>
    <w:rsid w:val="00172A27"/>
    <w:rsid w:val="00173AB6"/>
    <w:rsid w:val="001809DD"/>
    <w:rsid w:val="00182D02"/>
    <w:rsid w:val="001833D2"/>
    <w:rsid w:val="001843EC"/>
    <w:rsid w:val="001A280C"/>
    <w:rsid w:val="001B39AB"/>
    <w:rsid w:val="001D0A41"/>
    <w:rsid w:val="00200008"/>
    <w:rsid w:val="00201BD3"/>
    <w:rsid w:val="002044CB"/>
    <w:rsid w:val="00213B1C"/>
    <w:rsid w:val="00232530"/>
    <w:rsid w:val="00244B61"/>
    <w:rsid w:val="0024773C"/>
    <w:rsid w:val="00253624"/>
    <w:rsid w:val="00255A9C"/>
    <w:rsid w:val="0026017A"/>
    <w:rsid w:val="00276DAA"/>
    <w:rsid w:val="002A5C25"/>
    <w:rsid w:val="002D5352"/>
    <w:rsid w:val="002D728A"/>
    <w:rsid w:val="002D7F8A"/>
    <w:rsid w:val="002E0D1D"/>
    <w:rsid w:val="003203A3"/>
    <w:rsid w:val="00331031"/>
    <w:rsid w:val="00342408"/>
    <w:rsid w:val="00352195"/>
    <w:rsid w:val="003562B2"/>
    <w:rsid w:val="00356736"/>
    <w:rsid w:val="00364A7D"/>
    <w:rsid w:val="00365CBE"/>
    <w:rsid w:val="003778E3"/>
    <w:rsid w:val="003932F4"/>
    <w:rsid w:val="00393F38"/>
    <w:rsid w:val="003A7133"/>
    <w:rsid w:val="003A7D30"/>
    <w:rsid w:val="003B056F"/>
    <w:rsid w:val="003B39FC"/>
    <w:rsid w:val="003C08EC"/>
    <w:rsid w:val="003C388C"/>
    <w:rsid w:val="003C7852"/>
    <w:rsid w:val="003D09A1"/>
    <w:rsid w:val="003E61BF"/>
    <w:rsid w:val="00405EC3"/>
    <w:rsid w:val="00405FF0"/>
    <w:rsid w:val="00410404"/>
    <w:rsid w:val="004104AC"/>
    <w:rsid w:val="00440A6B"/>
    <w:rsid w:val="00445E86"/>
    <w:rsid w:val="00456FC7"/>
    <w:rsid w:val="00474E04"/>
    <w:rsid w:val="004763D3"/>
    <w:rsid w:val="00494AA7"/>
    <w:rsid w:val="00496838"/>
    <w:rsid w:val="004C1A2A"/>
    <w:rsid w:val="004C2AC0"/>
    <w:rsid w:val="004D0C5A"/>
    <w:rsid w:val="004D184C"/>
    <w:rsid w:val="004D1A13"/>
    <w:rsid w:val="004E1396"/>
    <w:rsid w:val="004E4EA0"/>
    <w:rsid w:val="00512252"/>
    <w:rsid w:val="00545D75"/>
    <w:rsid w:val="00556726"/>
    <w:rsid w:val="00562335"/>
    <w:rsid w:val="00563EBC"/>
    <w:rsid w:val="00566937"/>
    <w:rsid w:val="00575ED0"/>
    <w:rsid w:val="00576FA4"/>
    <w:rsid w:val="005853E4"/>
    <w:rsid w:val="0058549D"/>
    <w:rsid w:val="00594B67"/>
    <w:rsid w:val="005B4095"/>
    <w:rsid w:val="005C3F57"/>
    <w:rsid w:val="005E5B21"/>
    <w:rsid w:val="005F53B8"/>
    <w:rsid w:val="00600B21"/>
    <w:rsid w:val="006011E8"/>
    <w:rsid w:val="00603630"/>
    <w:rsid w:val="006158A6"/>
    <w:rsid w:val="0062283B"/>
    <w:rsid w:val="006230A3"/>
    <w:rsid w:val="0062741F"/>
    <w:rsid w:val="00631525"/>
    <w:rsid w:val="00634F7B"/>
    <w:rsid w:val="006429DB"/>
    <w:rsid w:val="00671E42"/>
    <w:rsid w:val="006A5A14"/>
    <w:rsid w:val="006B2446"/>
    <w:rsid w:val="006B6A5F"/>
    <w:rsid w:val="006C7AA1"/>
    <w:rsid w:val="006D027E"/>
    <w:rsid w:val="006D35EF"/>
    <w:rsid w:val="006D72B9"/>
    <w:rsid w:val="006E1171"/>
    <w:rsid w:val="006F0971"/>
    <w:rsid w:val="006F3737"/>
    <w:rsid w:val="006F475E"/>
    <w:rsid w:val="00704110"/>
    <w:rsid w:val="00706A62"/>
    <w:rsid w:val="00711794"/>
    <w:rsid w:val="00722C59"/>
    <w:rsid w:val="00722E33"/>
    <w:rsid w:val="0072334C"/>
    <w:rsid w:val="00724899"/>
    <w:rsid w:val="007279BA"/>
    <w:rsid w:val="00731D9D"/>
    <w:rsid w:val="007343AF"/>
    <w:rsid w:val="00746A2D"/>
    <w:rsid w:val="007A2E48"/>
    <w:rsid w:val="007B29CC"/>
    <w:rsid w:val="007E0757"/>
    <w:rsid w:val="00812799"/>
    <w:rsid w:val="008137E9"/>
    <w:rsid w:val="00821EED"/>
    <w:rsid w:val="008522D1"/>
    <w:rsid w:val="00875C52"/>
    <w:rsid w:val="0089206E"/>
    <w:rsid w:val="00895BEA"/>
    <w:rsid w:val="008A3497"/>
    <w:rsid w:val="008B5D1D"/>
    <w:rsid w:val="008D36B1"/>
    <w:rsid w:val="008F582D"/>
    <w:rsid w:val="00907E27"/>
    <w:rsid w:val="00915A65"/>
    <w:rsid w:val="00917A54"/>
    <w:rsid w:val="00944EB9"/>
    <w:rsid w:val="00953E64"/>
    <w:rsid w:val="00956B78"/>
    <w:rsid w:val="00957BF8"/>
    <w:rsid w:val="00971DC3"/>
    <w:rsid w:val="009C2943"/>
    <w:rsid w:val="009D062D"/>
    <w:rsid w:val="009D2D88"/>
    <w:rsid w:val="009F24EF"/>
    <w:rsid w:val="009F50B6"/>
    <w:rsid w:val="00A00FD8"/>
    <w:rsid w:val="00A101CE"/>
    <w:rsid w:val="00A154F7"/>
    <w:rsid w:val="00A25C7E"/>
    <w:rsid w:val="00A43553"/>
    <w:rsid w:val="00A67F0D"/>
    <w:rsid w:val="00A71375"/>
    <w:rsid w:val="00A8267E"/>
    <w:rsid w:val="00A9383D"/>
    <w:rsid w:val="00A97488"/>
    <w:rsid w:val="00AC3CD3"/>
    <w:rsid w:val="00AC5391"/>
    <w:rsid w:val="00AD0012"/>
    <w:rsid w:val="00AD2C1C"/>
    <w:rsid w:val="00AE7FD1"/>
    <w:rsid w:val="00B047D1"/>
    <w:rsid w:val="00B23FC4"/>
    <w:rsid w:val="00B41B40"/>
    <w:rsid w:val="00B41BC0"/>
    <w:rsid w:val="00B44539"/>
    <w:rsid w:val="00B60639"/>
    <w:rsid w:val="00B745B2"/>
    <w:rsid w:val="00B85892"/>
    <w:rsid w:val="00B91E8D"/>
    <w:rsid w:val="00BA0992"/>
    <w:rsid w:val="00BB05E6"/>
    <w:rsid w:val="00BB131C"/>
    <w:rsid w:val="00BC3D40"/>
    <w:rsid w:val="00BE56DF"/>
    <w:rsid w:val="00BF0269"/>
    <w:rsid w:val="00BF2B8C"/>
    <w:rsid w:val="00C0517A"/>
    <w:rsid w:val="00C26074"/>
    <w:rsid w:val="00C26739"/>
    <w:rsid w:val="00C26EB8"/>
    <w:rsid w:val="00C340C7"/>
    <w:rsid w:val="00C43126"/>
    <w:rsid w:val="00C5048A"/>
    <w:rsid w:val="00C745B3"/>
    <w:rsid w:val="00C83B0A"/>
    <w:rsid w:val="00CB1E77"/>
    <w:rsid w:val="00CE0967"/>
    <w:rsid w:val="00CE1E0C"/>
    <w:rsid w:val="00CE277E"/>
    <w:rsid w:val="00D46923"/>
    <w:rsid w:val="00D536E3"/>
    <w:rsid w:val="00D56867"/>
    <w:rsid w:val="00D93108"/>
    <w:rsid w:val="00D932D4"/>
    <w:rsid w:val="00DB7867"/>
    <w:rsid w:val="00DC1235"/>
    <w:rsid w:val="00DC1F3F"/>
    <w:rsid w:val="00DC7EA2"/>
    <w:rsid w:val="00DF0117"/>
    <w:rsid w:val="00DF0CBF"/>
    <w:rsid w:val="00DF52A9"/>
    <w:rsid w:val="00E02A7F"/>
    <w:rsid w:val="00E07505"/>
    <w:rsid w:val="00E07880"/>
    <w:rsid w:val="00E13B3B"/>
    <w:rsid w:val="00E22F67"/>
    <w:rsid w:val="00E30AFF"/>
    <w:rsid w:val="00E31296"/>
    <w:rsid w:val="00E33EDB"/>
    <w:rsid w:val="00E357AF"/>
    <w:rsid w:val="00E644B1"/>
    <w:rsid w:val="00E67051"/>
    <w:rsid w:val="00E67161"/>
    <w:rsid w:val="00E7086B"/>
    <w:rsid w:val="00E82621"/>
    <w:rsid w:val="00E86ABD"/>
    <w:rsid w:val="00E9490D"/>
    <w:rsid w:val="00EB3587"/>
    <w:rsid w:val="00ED4402"/>
    <w:rsid w:val="00F13D01"/>
    <w:rsid w:val="00F30146"/>
    <w:rsid w:val="00F322B2"/>
    <w:rsid w:val="00F65A60"/>
    <w:rsid w:val="00F65F37"/>
    <w:rsid w:val="00F7607C"/>
    <w:rsid w:val="00F77C9A"/>
    <w:rsid w:val="00F80BE5"/>
    <w:rsid w:val="00FA71FC"/>
    <w:rsid w:val="00FA7BE3"/>
    <w:rsid w:val="00FB0D74"/>
    <w:rsid w:val="00FB4F65"/>
    <w:rsid w:val="00FB576C"/>
    <w:rsid w:val="00FD2AA6"/>
    <w:rsid w:val="00FE7E8A"/>
    <w:rsid w:val="00FF5DB5"/>
    <w:rsid w:val="025B3C7B"/>
    <w:rsid w:val="027A5A22"/>
    <w:rsid w:val="030B47EA"/>
    <w:rsid w:val="03F60FF6"/>
    <w:rsid w:val="05113B25"/>
    <w:rsid w:val="05342D0B"/>
    <w:rsid w:val="08332819"/>
    <w:rsid w:val="08C07E24"/>
    <w:rsid w:val="0A147B34"/>
    <w:rsid w:val="0A41763A"/>
    <w:rsid w:val="0A6B3D13"/>
    <w:rsid w:val="0B6D6042"/>
    <w:rsid w:val="0B9A2BAF"/>
    <w:rsid w:val="0EDB349E"/>
    <w:rsid w:val="0F45369E"/>
    <w:rsid w:val="11044FB5"/>
    <w:rsid w:val="12745F08"/>
    <w:rsid w:val="139C5FA3"/>
    <w:rsid w:val="15003E83"/>
    <w:rsid w:val="187F5606"/>
    <w:rsid w:val="1AAC2191"/>
    <w:rsid w:val="1AB175CD"/>
    <w:rsid w:val="1C2D5FD2"/>
    <w:rsid w:val="1EE771CB"/>
    <w:rsid w:val="1F75506D"/>
    <w:rsid w:val="20914D43"/>
    <w:rsid w:val="213B5B64"/>
    <w:rsid w:val="219E6AFD"/>
    <w:rsid w:val="23757D3B"/>
    <w:rsid w:val="25827E99"/>
    <w:rsid w:val="25C26B32"/>
    <w:rsid w:val="26002AE2"/>
    <w:rsid w:val="265E3C10"/>
    <w:rsid w:val="2714160F"/>
    <w:rsid w:val="28257C1A"/>
    <w:rsid w:val="28857ADB"/>
    <w:rsid w:val="28920A3E"/>
    <w:rsid w:val="2A281FC1"/>
    <w:rsid w:val="2A7523C5"/>
    <w:rsid w:val="2CBF0547"/>
    <w:rsid w:val="2D016192"/>
    <w:rsid w:val="2DDD7C77"/>
    <w:rsid w:val="2FE80716"/>
    <w:rsid w:val="300541EB"/>
    <w:rsid w:val="30276510"/>
    <w:rsid w:val="30B92302"/>
    <w:rsid w:val="31090CBD"/>
    <w:rsid w:val="312C0D1D"/>
    <w:rsid w:val="31821B16"/>
    <w:rsid w:val="31BA5809"/>
    <w:rsid w:val="321F7BC2"/>
    <w:rsid w:val="32A47DCA"/>
    <w:rsid w:val="32AA2E28"/>
    <w:rsid w:val="32CD1D8E"/>
    <w:rsid w:val="3346584E"/>
    <w:rsid w:val="36A60137"/>
    <w:rsid w:val="373C3BA2"/>
    <w:rsid w:val="3BE4509D"/>
    <w:rsid w:val="3C6472A5"/>
    <w:rsid w:val="41467F06"/>
    <w:rsid w:val="423F17DF"/>
    <w:rsid w:val="42693060"/>
    <w:rsid w:val="43010842"/>
    <w:rsid w:val="443665DF"/>
    <w:rsid w:val="47F70466"/>
    <w:rsid w:val="489B0ECA"/>
    <w:rsid w:val="48D13397"/>
    <w:rsid w:val="49FC1D63"/>
    <w:rsid w:val="4A9A3902"/>
    <w:rsid w:val="4BFB5C0C"/>
    <w:rsid w:val="4DF33C6D"/>
    <w:rsid w:val="4F440434"/>
    <w:rsid w:val="4FDF63AF"/>
    <w:rsid w:val="56C105BC"/>
    <w:rsid w:val="56E47788"/>
    <w:rsid w:val="5A664137"/>
    <w:rsid w:val="5ADC32E5"/>
    <w:rsid w:val="5C561594"/>
    <w:rsid w:val="5DF86567"/>
    <w:rsid w:val="5FAF1CA3"/>
    <w:rsid w:val="5FD41360"/>
    <w:rsid w:val="60187D4F"/>
    <w:rsid w:val="611F485D"/>
    <w:rsid w:val="61803A80"/>
    <w:rsid w:val="61B31479"/>
    <w:rsid w:val="643E324C"/>
    <w:rsid w:val="64D051A2"/>
    <w:rsid w:val="64D320D3"/>
    <w:rsid w:val="66507A6C"/>
    <w:rsid w:val="68D62580"/>
    <w:rsid w:val="6A8F5B25"/>
    <w:rsid w:val="6BFE60C9"/>
    <w:rsid w:val="6D222DF2"/>
    <w:rsid w:val="6D9B526C"/>
    <w:rsid w:val="71DD7FA0"/>
    <w:rsid w:val="72213F14"/>
    <w:rsid w:val="72E35DA1"/>
    <w:rsid w:val="7420471D"/>
    <w:rsid w:val="762D52CC"/>
    <w:rsid w:val="76D93F1F"/>
    <w:rsid w:val="784F166F"/>
    <w:rsid w:val="78C733B9"/>
    <w:rsid w:val="794A5D98"/>
    <w:rsid w:val="7AEA093F"/>
    <w:rsid w:val="7B797B48"/>
    <w:rsid w:val="7C666DD4"/>
    <w:rsid w:val="7D951CD7"/>
    <w:rsid w:val="7F6D27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character" w:default="1" w:styleId="12">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2">
    <w:name w:val="toc 2"/>
    <w:basedOn w:val="1"/>
    <w:next w:val="1"/>
    <w:qFormat/>
    <w:uiPriority w:val="0"/>
    <w:pPr>
      <w:ind w:left="420" w:leftChars="200"/>
    </w:pPr>
  </w:style>
  <w:style w:type="paragraph" w:styleId="4">
    <w:name w:val="annotation text"/>
    <w:basedOn w:val="1"/>
    <w:link w:val="16"/>
    <w:unhideWhenUsed/>
    <w:qFormat/>
    <w:uiPriority w:val="99"/>
    <w:pPr>
      <w:jc w:val="left"/>
    </w:pPr>
  </w:style>
  <w:style w:type="paragraph" w:styleId="5">
    <w:name w:val="Plain Text"/>
    <w:basedOn w:val="1"/>
    <w:unhideWhenUsed/>
    <w:qFormat/>
    <w:uiPriority w:val="99"/>
    <w:rPr>
      <w:rFonts w:ascii="宋体" w:hAnsi="Courier New"/>
      <w:sz w:val="32"/>
      <w:szCs w:val="21"/>
    </w:rPr>
  </w:style>
  <w:style w:type="paragraph" w:styleId="6">
    <w:name w:val="Balloon Text"/>
    <w:basedOn w:val="1"/>
    <w:link w:val="17"/>
    <w:unhideWhenUsed/>
    <w:qFormat/>
    <w:uiPriority w:val="99"/>
    <w:rPr>
      <w:sz w:val="18"/>
      <w:szCs w:val="18"/>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0"/>
    <w:pPr>
      <w:spacing w:before="100" w:beforeAutospacing="1" w:after="100" w:afterAutospacing="1"/>
      <w:jc w:val="left"/>
    </w:pPr>
    <w:rPr>
      <w:kern w:val="0"/>
      <w:sz w:val="24"/>
    </w:rPr>
  </w:style>
  <w:style w:type="paragraph" w:styleId="10">
    <w:name w:val="annotation subject"/>
    <w:basedOn w:val="4"/>
    <w:next w:val="4"/>
    <w:link w:val="20"/>
    <w:unhideWhenUsed/>
    <w:qFormat/>
    <w:uiPriority w:val="99"/>
    <w:rPr>
      <w:b/>
      <w:bCs/>
    </w:rPr>
  </w:style>
  <w:style w:type="character" w:styleId="13">
    <w:name w:val="Strong"/>
    <w:qFormat/>
    <w:uiPriority w:val="22"/>
    <w:rPr>
      <w:b/>
      <w:bCs/>
    </w:rPr>
  </w:style>
  <w:style w:type="character" w:styleId="14">
    <w:name w:val="page number"/>
    <w:qFormat/>
    <w:uiPriority w:val="0"/>
  </w:style>
  <w:style w:type="character" w:styleId="15">
    <w:name w:val="annotation reference"/>
    <w:unhideWhenUsed/>
    <w:qFormat/>
    <w:uiPriority w:val="99"/>
    <w:rPr>
      <w:sz w:val="21"/>
      <w:szCs w:val="21"/>
    </w:rPr>
  </w:style>
  <w:style w:type="character" w:customStyle="1" w:styleId="16">
    <w:name w:val="批注文字 字符"/>
    <w:link w:val="4"/>
    <w:qFormat/>
    <w:uiPriority w:val="99"/>
    <w:rPr>
      <w:kern w:val="2"/>
      <w:sz w:val="21"/>
      <w:szCs w:val="24"/>
    </w:rPr>
  </w:style>
  <w:style w:type="character" w:customStyle="1" w:styleId="17">
    <w:name w:val="批注框文本 字符"/>
    <w:link w:val="6"/>
    <w:semiHidden/>
    <w:qFormat/>
    <w:uiPriority w:val="99"/>
    <w:rPr>
      <w:kern w:val="2"/>
      <w:sz w:val="18"/>
      <w:szCs w:val="18"/>
    </w:rPr>
  </w:style>
  <w:style w:type="character" w:customStyle="1" w:styleId="18">
    <w:name w:val="页脚 字符"/>
    <w:link w:val="7"/>
    <w:qFormat/>
    <w:uiPriority w:val="99"/>
    <w:rPr>
      <w:kern w:val="2"/>
      <w:sz w:val="18"/>
      <w:szCs w:val="18"/>
    </w:rPr>
  </w:style>
  <w:style w:type="character" w:customStyle="1" w:styleId="19">
    <w:name w:val="页眉 字符"/>
    <w:link w:val="8"/>
    <w:semiHidden/>
    <w:qFormat/>
    <w:uiPriority w:val="99"/>
    <w:rPr>
      <w:kern w:val="2"/>
      <w:sz w:val="18"/>
      <w:szCs w:val="18"/>
    </w:rPr>
  </w:style>
  <w:style w:type="character" w:customStyle="1" w:styleId="20">
    <w:name w:val="批注主题 字符"/>
    <w:link w:val="10"/>
    <w:semiHidden/>
    <w:qFormat/>
    <w:uiPriority w:val="99"/>
    <w:rPr>
      <w:b/>
      <w:bCs/>
      <w:kern w:val="2"/>
      <w:sz w:val="21"/>
      <w:szCs w:val="24"/>
    </w:rPr>
  </w:style>
  <w:style w:type="paragraph" w:customStyle="1" w:styleId="21">
    <w:name w:val="列出段落1"/>
    <w:basedOn w:val="1"/>
    <w:qFormat/>
    <w:uiPriority w:val="34"/>
    <w:pPr>
      <w:ind w:firstLine="420" w:firstLineChars="200"/>
    </w:pPr>
    <w:rPr>
      <w:rFonts w:ascii="Calibri" w:hAnsi="Calibri"/>
      <w:szCs w:val="22"/>
    </w:rPr>
  </w:style>
  <w:style w:type="paragraph" w:customStyle="1" w:styleId="22">
    <w:name w:val="_Style 20"/>
    <w:unhideWhenUsed/>
    <w:qFormat/>
    <w:uiPriority w:val="99"/>
    <w:rPr>
      <w:rFonts w:ascii="Times New Roman" w:hAnsi="Times New Roman" w:eastAsia="宋体" w:cs="Times New Roman"/>
      <w:kern w:val="2"/>
      <w:sz w:val="21"/>
      <w:szCs w:val="24"/>
      <w:lang w:val="en-US" w:eastAsia="zh-CN" w:bidi="ar-SA"/>
    </w:rPr>
  </w:style>
  <w:style w:type="paragraph" w:styleId="23">
    <w:name w:val="List Paragraph"/>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Legend (Beijing) Limited</Company>
  <Pages>5</Pages>
  <Words>3324</Words>
  <Characters>4349</Characters>
  <Lines>34</Lines>
  <Paragraphs>9</Paragraphs>
  <TotalTime>42</TotalTime>
  <ScaleCrop>false</ScaleCrop>
  <LinksUpToDate>false</LinksUpToDate>
  <CharactersWithSpaces>4478</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2024-03-07T01:39:00Z</dcterms:created>
  <dc:creator>Legend User</dc:creator>
  <cp:lastModifiedBy>cui</cp:lastModifiedBy>
  <cp:lastPrinted>2019-12-05T07:53:00Z</cp:lastPrinted>
  <dcterms:modified xsi:type="dcterms:W3CDTF">2026-05-28T01:37:22Z</dcterms:modified>
  <dc:title>××产品质量监督抽查实施细则</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SaveFontToCloudKey">
    <vt:lpwstr>550453206_embed</vt:lpwstr>
  </property>
  <property fmtid="{D5CDD505-2E9C-101B-9397-08002B2CF9AE}" pid="4" name="ICV">
    <vt:lpwstr>344ABC562B0343F3AB9A47EC191D0725_13</vt:lpwstr>
  </property>
  <property fmtid="{D5CDD505-2E9C-101B-9397-08002B2CF9AE}" pid="5" name="KSOTemplateDocerSaveRecord">
    <vt:lpwstr>eyJoZGlkIjoiMDk3M2U0ZDQ4YzMyZDhlMTI3OWMwYjE2N2QwMmUxMGEiLCJ1c2VySWQiOiI0Mjk3ODY0MzAifQ==</vt:lpwstr>
  </property>
</Properties>
</file>