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0773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方正小标宋简体" w:cs="方正小标宋简体"/>
          <w:color w:val="auto"/>
          <w:sz w:val="44"/>
          <w:szCs w:val="44"/>
          <w:highlight w:val="none"/>
        </w:rPr>
      </w:pPr>
      <w:r>
        <w:rPr>
          <w:rFonts w:hint="eastAsia" w:eastAsia="方正小标宋简体" w:cs="方正小标宋简体"/>
          <w:color w:val="auto"/>
          <w:sz w:val="44"/>
          <w:szCs w:val="44"/>
          <w:highlight w:val="none"/>
          <w:lang w:val="en-US" w:eastAsia="zh-CN"/>
        </w:rPr>
        <w:t>东莞市</w:t>
      </w:r>
      <w:bookmarkStart w:id="0" w:name="_GoBack"/>
      <w:bookmarkEnd w:id="0"/>
      <w:r>
        <w:rPr>
          <w:rFonts w:hint="eastAsia" w:ascii="Times New Roman" w:hAnsi="Times New Roman" w:eastAsia="方正小标宋简体" w:cs="方正小标宋简体"/>
          <w:color w:val="auto"/>
          <w:sz w:val="44"/>
          <w:szCs w:val="44"/>
          <w:highlight w:val="none"/>
          <w:lang w:val="en-US" w:eastAsia="zh-CN"/>
        </w:rPr>
        <w:t>原电池</w:t>
      </w:r>
      <w:r>
        <w:rPr>
          <w:rFonts w:hint="eastAsia" w:ascii="Times New Roman" w:hAnsi="Times New Roman" w:eastAsia="方正小标宋简体" w:cs="方正小标宋简体"/>
          <w:color w:val="auto"/>
          <w:sz w:val="44"/>
          <w:szCs w:val="44"/>
          <w:highlight w:val="none"/>
        </w:rPr>
        <w:t>产品质量监督抽查实施细则</w:t>
      </w:r>
    </w:p>
    <w:p w14:paraId="7E55C08C">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imes New Roman" w:hAnsi="Times New Roman" w:eastAsia="楷体_GB2312" w:cs="楷体_GB2312"/>
          <w:color w:val="auto"/>
          <w:sz w:val="32"/>
          <w:szCs w:val="40"/>
          <w:highlight w:val="none"/>
        </w:rPr>
      </w:pPr>
      <w:r>
        <w:rPr>
          <w:rFonts w:hint="eastAsia" w:ascii="Times New Roman" w:hAnsi="Times New Roman" w:eastAsia="楷体_GB2312" w:cs="楷体_GB2312"/>
          <w:color w:val="auto"/>
          <w:sz w:val="32"/>
          <w:szCs w:val="40"/>
          <w:highlight w:val="none"/>
        </w:rPr>
        <w:t>（202</w:t>
      </w:r>
      <w:r>
        <w:rPr>
          <w:rFonts w:hint="eastAsia" w:ascii="Times New Roman" w:hAnsi="Times New Roman" w:eastAsia="楷体_GB2312" w:cs="楷体_GB2312"/>
          <w:color w:val="auto"/>
          <w:sz w:val="32"/>
          <w:szCs w:val="40"/>
          <w:highlight w:val="none"/>
          <w:lang w:val="en-US" w:eastAsia="zh-CN"/>
        </w:rPr>
        <w:t>6</w:t>
      </w:r>
      <w:r>
        <w:rPr>
          <w:rFonts w:hint="eastAsia" w:ascii="Times New Roman" w:hAnsi="Times New Roman" w:eastAsia="楷体_GB2312" w:cs="楷体_GB2312"/>
          <w:color w:val="auto"/>
          <w:sz w:val="32"/>
          <w:szCs w:val="40"/>
          <w:highlight w:val="none"/>
        </w:rPr>
        <w:t>年版）</w:t>
      </w:r>
    </w:p>
    <w:p w14:paraId="264223BB">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rPr>
      </w:pPr>
    </w:p>
    <w:p w14:paraId="4F4A1D2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Times New Roman"/>
          <w:color w:val="auto"/>
          <w:sz w:val="32"/>
          <w:szCs w:val="32"/>
          <w:highlight w:val="none"/>
        </w:rPr>
      </w:pPr>
      <w:r>
        <w:rPr>
          <w:rFonts w:ascii="Times New Roman" w:hAnsi="Times New Roman" w:eastAsia="黑体" w:cs="黑体"/>
          <w:color w:val="auto"/>
          <w:sz w:val="32"/>
          <w:szCs w:val="40"/>
          <w:highlight w:val="none"/>
        </w:rPr>
        <w:t>1 抽样方法</w:t>
      </w:r>
    </w:p>
    <w:p w14:paraId="2DAD4D99">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以随机抽样的方式在被抽样生产者、销售者的待销产品中抽取。</w:t>
      </w:r>
    </w:p>
    <w:p w14:paraId="007FE58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随机数一般可使用随机数表等方法产生。</w:t>
      </w:r>
    </w:p>
    <w:p w14:paraId="318E7C1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每款产品抽取2组样本，第1组用于检验，第2组用于备样。</w:t>
      </w:r>
    </w:p>
    <w:p w14:paraId="17A0E6E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Times New Roman"/>
          <w:color w:val="auto"/>
          <w:sz w:val="32"/>
          <w:szCs w:val="32"/>
          <w:highlight w:val="none"/>
        </w:rPr>
      </w:pPr>
      <w:r>
        <w:rPr>
          <w:rFonts w:ascii="Times New Roman" w:hAnsi="Times New Roman" w:eastAsia="仿宋_GB2312" w:cs="仿宋_GB2312"/>
          <w:color w:val="auto"/>
          <w:sz w:val="32"/>
          <w:szCs w:val="40"/>
          <w:highlight w:val="none"/>
        </w:rPr>
        <w:t>每组样本需抽取样品数量如下表所示：</w:t>
      </w:r>
    </w:p>
    <w:tbl>
      <w:tblPr>
        <w:tblStyle w:val="19"/>
        <w:tblW w:w="9772"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1372"/>
        <w:gridCol w:w="2743"/>
        <w:gridCol w:w="2293"/>
        <w:gridCol w:w="2250"/>
      </w:tblGrid>
      <w:tr w14:paraId="3E8AA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14" w:type="dxa"/>
            <w:vAlign w:val="center"/>
          </w:tcPr>
          <w:p w14:paraId="6C331B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ascii="Times New Roman" w:hAnsi="Times New Roman" w:eastAsia="仿宋_GB2312" w:cs="仿宋_GB2312"/>
                <w:b/>
                <w:bCs/>
                <w:color w:val="auto"/>
                <w:sz w:val="28"/>
                <w:szCs w:val="28"/>
                <w:highlight w:val="none"/>
                <w:lang w:bidi="ar"/>
              </w:rPr>
              <w:t>序号</w:t>
            </w:r>
          </w:p>
        </w:tc>
        <w:tc>
          <w:tcPr>
            <w:tcW w:w="4115" w:type="dxa"/>
            <w:gridSpan w:val="2"/>
            <w:vAlign w:val="center"/>
          </w:tcPr>
          <w:p w14:paraId="3B58DC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ascii="Times New Roman" w:hAnsi="Times New Roman" w:eastAsia="仿宋_GB2312" w:cs="仿宋_GB2312"/>
                <w:b/>
                <w:bCs/>
                <w:color w:val="auto"/>
                <w:sz w:val="28"/>
                <w:szCs w:val="28"/>
                <w:highlight w:val="none"/>
                <w:lang w:bidi="ar"/>
              </w:rPr>
              <w:t>产品名称</w:t>
            </w:r>
          </w:p>
        </w:tc>
        <w:tc>
          <w:tcPr>
            <w:tcW w:w="2293" w:type="dxa"/>
            <w:vAlign w:val="center"/>
          </w:tcPr>
          <w:p w14:paraId="761E948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ascii="Times New Roman" w:hAnsi="Times New Roman" w:eastAsia="仿宋_GB2312" w:cs="仿宋_GB2312"/>
                <w:b/>
                <w:bCs/>
                <w:color w:val="auto"/>
                <w:sz w:val="28"/>
                <w:szCs w:val="28"/>
                <w:highlight w:val="none"/>
                <w:lang w:bidi="ar"/>
              </w:rPr>
              <w:t>第1组数量（款）</w:t>
            </w:r>
          </w:p>
        </w:tc>
        <w:tc>
          <w:tcPr>
            <w:tcW w:w="2250" w:type="dxa"/>
            <w:vAlign w:val="center"/>
          </w:tcPr>
          <w:p w14:paraId="4F05E48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ascii="Times New Roman" w:hAnsi="Times New Roman" w:eastAsia="仿宋_GB2312" w:cs="仿宋_GB2312"/>
                <w:b/>
                <w:bCs/>
                <w:color w:val="auto"/>
                <w:sz w:val="28"/>
                <w:szCs w:val="28"/>
                <w:highlight w:val="none"/>
                <w:lang w:bidi="ar"/>
              </w:rPr>
              <w:t>第2组数量（款）</w:t>
            </w:r>
          </w:p>
        </w:tc>
      </w:tr>
      <w:tr w14:paraId="2D1A5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14" w:type="dxa"/>
            <w:vAlign w:val="center"/>
          </w:tcPr>
          <w:p w14:paraId="31A031C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1372" w:type="dxa"/>
            <w:vMerge w:val="restart"/>
            <w:vAlign w:val="center"/>
          </w:tcPr>
          <w:p w14:paraId="25E3BBA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原电池</w:t>
            </w:r>
          </w:p>
        </w:tc>
        <w:tc>
          <w:tcPr>
            <w:tcW w:w="2743" w:type="dxa"/>
            <w:vAlign w:val="center"/>
          </w:tcPr>
          <w:p w14:paraId="6AF9330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原电池及原电池组</w:t>
            </w:r>
          </w:p>
          <w:p w14:paraId="35F1C4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（非扣式、干电池）</w:t>
            </w:r>
          </w:p>
        </w:tc>
        <w:tc>
          <w:tcPr>
            <w:tcW w:w="2293" w:type="dxa"/>
            <w:vAlign w:val="center"/>
          </w:tcPr>
          <w:p w14:paraId="6CE959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40</w:t>
            </w:r>
          </w:p>
        </w:tc>
        <w:tc>
          <w:tcPr>
            <w:tcW w:w="2250" w:type="dxa"/>
            <w:vAlign w:val="center"/>
          </w:tcPr>
          <w:p w14:paraId="54F91D9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20</w:t>
            </w:r>
          </w:p>
        </w:tc>
      </w:tr>
      <w:tr w14:paraId="13A3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114" w:type="dxa"/>
            <w:vAlign w:val="center"/>
          </w:tcPr>
          <w:p w14:paraId="5658502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1372" w:type="dxa"/>
            <w:vMerge w:val="continue"/>
            <w:vAlign w:val="center"/>
          </w:tcPr>
          <w:p w14:paraId="3815B3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p>
        </w:tc>
        <w:tc>
          <w:tcPr>
            <w:tcW w:w="2743" w:type="dxa"/>
            <w:vAlign w:val="center"/>
          </w:tcPr>
          <w:p w14:paraId="5D2F907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扣式原电池</w:t>
            </w:r>
          </w:p>
        </w:tc>
        <w:tc>
          <w:tcPr>
            <w:tcW w:w="2293" w:type="dxa"/>
            <w:vAlign w:val="center"/>
          </w:tcPr>
          <w:p w14:paraId="21FFF5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40</w:t>
            </w:r>
          </w:p>
        </w:tc>
        <w:tc>
          <w:tcPr>
            <w:tcW w:w="2250" w:type="dxa"/>
            <w:vAlign w:val="center"/>
          </w:tcPr>
          <w:p w14:paraId="1032B3D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20</w:t>
            </w:r>
          </w:p>
        </w:tc>
      </w:tr>
    </w:tbl>
    <w:p w14:paraId="79453AE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黑体" w:cs="黑体"/>
          <w:color w:val="auto"/>
          <w:sz w:val="32"/>
          <w:szCs w:val="40"/>
          <w:highlight w:val="none"/>
        </w:rPr>
      </w:pPr>
      <w:r>
        <w:rPr>
          <w:rFonts w:ascii="Times New Roman" w:hAnsi="Times New Roman" w:eastAsia="黑体" w:cs="黑体"/>
          <w:color w:val="auto"/>
          <w:sz w:val="32"/>
          <w:szCs w:val="40"/>
          <w:highlight w:val="none"/>
        </w:rPr>
        <w:t>2 检验依据</w:t>
      </w:r>
    </w:p>
    <w:p w14:paraId="21A7EB8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ascii="Times New Roman" w:hAnsi="Times New Roman" w:eastAsia="楷体_GB2312" w:cs="楷体_GB2312"/>
          <w:color w:val="auto"/>
          <w:sz w:val="32"/>
          <w:szCs w:val="40"/>
          <w:highlight w:val="none"/>
        </w:rPr>
        <w:t>2.1</w:t>
      </w:r>
      <w:r>
        <w:rPr>
          <w:rFonts w:hint="eastAsia" w:ascii="Times New Roman" w:hAnsi="Times New Roman" w:eastAsia="楷体_GB2312" w:cs="楷体_GB2312"/>
          <w:color w:val="auto"/>
          <w:sz w:val="32"/>
          <w:szCs w:val="40"/>
          <w:highlight w:val="none"/>
        </w:rPr>
        <w:t xml:space="preserve"> </w:t>
      </w:r>
      <w:r>
        <w:rPr>
          <w:rFonts w:ascii="Times New Roman" w:hAnsi="Times New Roman" w:eastAsia="楷体_GB2312" w:cs="楷体_GB2312"/>
          <w:color w:val="auto"/>
          <w:sz w:val="32"/>
          <w:szCs w:val="40"/>
          <w:highlight w:val="none"/>
        </w:rPr>
        <w:t>原电池及原电池组（非扣式、干电池）</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9"/>
        <w:gridCol w:w="4005"/>
        <w:gridCol w:w="3918"/>
      </w:tblGrid>
      <w:tr w14:paraId="576E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blHeader/>
          <w:jc w:val="center"/>
        </w:trPr>
        <w:tc>
          <w:tcPr>
            <w:tcW w:w="1639" w:type="dxa"/>
            <w:vAlign w:val="center"/>
          </w:tcPr>
          <w:p w14:paraId="147859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序号</w:t>
            </w:r>
          </w:p>
        </w:tc>
        <w:tc>
          <w:tcPr>
            <w:tcW w:w="4005" w:type="dxa"/>
            <w:vAlign w:val="center"/>
          </w:tcPr>
          <w:p w14:paraId="412950A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检验项目</w:t>
            </w:r>
          </w:p>
        </w:tc>
        <w:tc>
          <w:tcPr>
            <w:tcW w:w="3918" w:type="dxa"/>
            <w:vAlign w:val="center"/>
          </w:tcPr>
          <w:p w14:paraId="6B3712B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检验方法</w:t>
            </w:r>
          </w:p>
        </w:tc>
      </w:tr>
      <w:tr w14:paraId="0495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639" w:type="dxa"/>
            <w:vAlign w:val="center"/>
          </w:tcPr>
          <w:p w14:paraId="1CC42D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4005" w:type="dxa"/>
            <w:tcBorders>
              <w:top w:val="single" w:color="auto" w:sz="4" w:space="0"/>
              <w:left w:val="single" w:color="auto" w:sz="4" w:space="0"/>
              <w:bottom w:val="single" w:color="auto" w:sz="4" w:space="0"/>
              <w:right w:val="single" w:color="auto" w:sz="4" w:space="0"/>
            </w:tcBorders>
            <w:vAlign w:val="center"/>
          </w:tcPr>
          <w:p w14:paraId="473259A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标志</w:t>
            </w:r>
          </w:p>
        </w:tc>
        <w:tc>
          <w:tcPr>
            <w:tcW w:w="3918" w:type="dxa"/>
            <w:tcBorders>
              <w:top w:val="single" w:color="auto" w:sz="4" w:space="0"/>
              <w:left w:val="single" w:color="auto" w:sz="4" w:space="0"/>
              <w:bottom w:val="single" w:color="auto" w:sz="4" w:space="0"/>
              <w:right w:val="single" w:color="auto" w:sz="4" w:space="0"/>
            </w:tcBorders>
            <w:vAlign w:val="center"/>
          </w:tcPr>
          <w:p w14:paraId="2F505F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8897.1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2021</w:t>
            </w:r>
          </w:p>
          <w:p w14:paraId="60A5D45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8897.2</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2021</w:t>
            </w:r>
          </w:p>
        </w:tc>
      </w:tr>
      <w:tr w14:paraId="1998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639" w:type="dxa"/>
            <w:vAlign w:val="center"/>
          </w:tcPr>
          <w:p w14:paraId="613945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4005" w:type="dxa"/>
            <w:tcBorders>
              <w:top w:val="single" w:color="auto" w:sz="4" w:space="0"/>
              <w:left w:val="single" w:color="auto" w:sz="4" w:space="0"/>
              <w:bottom w:val="single" w:color="auto" w:sz="4" w:space="0"/>
              <w:right w:val="single" w:color="auto" w:sz="4" w:space="0"/>
            </w:tcBorders>
            <w:vAlign w:val="center"/>
          </w:tcPr>
          <w:p w14:paraId="3D94963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外形尺寸</w:t>
            </w:r>
          </w:p>
        </w:tc>
        <w:tc>
          <w:tcPr>
            <w:tcW w:w="3918" w:type="dxa"/>
            <w:tcBorders>
              <w:top w:val="single" w:color="auto" w:sz="4" w:space="0"/>
              <w:left w:val="single" w:color="auto" w:sz="4" w:space="0"/>
              <w:bottom w:val="single" w:color="auto" w:sz="4" w:space="0"/>
              <w:right w:val="single" w:color="auto" w:sz="4" w:space="0"/>
            </w:tcBorders>
            <w:vAlign w:val="center"/>
          </w:tcPr>
          <w:p w14:paraId="0B4158E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8897.1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2021</w:t>
            </w:r>
          </w:p>
          <w:p w14:paraId="497FCF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8897.2</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2021</w:t>
            </w:r>
          </w:p>
        </w:tc>
      </w:tr>
      <w:tr w14:paraId="41AC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639" w:type="dxa"/>
            <w:vAlign w:val="center"/>
          </w:tcPr>
          <w:p w14:paraId="61CE7DD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3</w:t>
            </w:r>
          </w:p>
        </w:tc>
        <w:tc>
          <w:tcPr>
            <w:tcW w:w="4005" w:type="dxa"/>
            <w:tcBorders>
              <w:top w:val="single" w:color="auto" w:sz="4" w:space="0"/>
              <w:left w:val="single" w:color="auto" w:sz="4" w:space="0"/>
              <w:bottom w:val="single" w:color="auto" w:sz="4" w:space="0"/>
              <w:right w:val="single" w:color="auto" w:sz="4" w:space="0"/>
            </w:tcBorders>
            <w:vAlign w:val="center"/>
          </w:tcPr>
          <w:p w14:paraId="0C74578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开路电压</w:t>
            </w:r>
          </w:p>
        </w:tc>
        <w:tc>
          <w:tcPr>
            <w:tcW w:w="3918" w:type="dxa"/>
            <w:tcBorders>
              <w:top w:val="single" w:color="auto" w:sz="4" w:space="0"/>
              <w:left w:val="single" w:color="auto" w:sz="4" w:space="0"/>
              <w:bottom w:val="single" w:color="auto" w:sz="4" w:space="0"/>
              <w:right w:val="single" w:color="auto" w:sz="4" w:space="0"/>
            </w:tcBorders>
            <w:vAlign w:val="center"/>
          </w:tcPr>
          <w:p w14:paraId="54A2CB3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8897.1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2021</w:t>
            </w:r>
          </w:p>
          <w:p w14:paraId="4D39509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8897.2</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2021</w:t>
            </w:r>
          </w:p>
        </w:tc>
      </w:tr>
      <w:tr w14:paraId="292C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639" w:type="dxa"/>
            <w:vAlign w:val="center"/>
          </w:tcPr>
          <w:p w14:paraId="5421BE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w:t>
            </w:r>
          </w:p>
        </w:tc>
        <w:tc>
          <w:tcPr>
            <w:tcW w:w="4005" w:type="dxa"/>
            <w:tcBorders>
              <w:top w:val="single" w:color="auto" w:sz="4" w:space="0"/>
              <w:left w:val="single" w:color="auto" w:sz="4" w:space="0"/>
              <w:bottom w:val="single" w:color="auto" w:sz="4" w:space="0"/>
              <w:right w:val="single" w:color="auto" w:sz="4" w:space="0"/>
            </w:tcBorders>
            <w:vAlign w:val="center"/>
          </w:tcPr>
          <w:p w14:paraId="1D7B71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放电性能</w:t>
            </w:r>
          </w:p>
        </w:tc>
        <w:tc>
          <w:tcPr>
            <w:tcW w:w="3918" w:type="dxa"/>
            <w:tcBorders>
              <w:top w:val="single" w:color="auto" w:sz="4" w:space="0"/>
              <w:left w:val="single" w:color="auto" w:sz="4" w:space="0"/>
              <w:bottom w:val="single" w:color="auto" w:sz="4" w:space="0"/>
              <w:right w:val="single" w:color="auto" w:sz="4" w:space="0"/>
            </w:tcBorders>
            <w:vAlign w:val="center"/>
          </w:tcPr>
          <w:p w14:paraId="71721C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8897.1</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2021</w:t>
            </w:r>
          </w:p>
          <w:p w14:paraId="51ADA0D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GB/T 8897.2</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2021</w:t>
            </w:r>
          </w:p>
        </w:tc>
      </w:tr>
      <w:tr w14:paraId="2E7F8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39" w:type="dxa"/>
            <w:vAlign w:val="center"/>
          </w:tcPr>
          <w:p w14:paraId="512F5A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5</w:t>
            </w:r>
          </w:p>
        </w:tc>
        <w:tc>
          <w:tcPr>
            <w:tcW w:w="4005" w:type="dxa"/>
            <w:tcBorders>
              <w:top w:val="single" w:color="auto" w:sz="4" w:space="0"/>
              <w:left w:val="single" w:color="auto" w:sz="4" w:space="0"/>
              <w:bottom w:val="single" w:color="auto" w:sz="4" w:space="0"/>
              <w:right w:val="single" w:color="auto" w:sz="4" w:space="0"/>
            </w:tcBorders>
            <w:vAlign w:val="center"/>
          </w:tcPr>
          <w:p w14:paraId="52A944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不正确的安装</w:t>
            </w:r>
          </w:p>
        </w:tc>
        <w:tc>
          <w:tcPr>
            <w:tcW w:w="3918" w:type="dxa"/>
            <w:tcBorders>
              <w:top w:val="single" w:color="auto" w:sz="4" w:space="0"/>
              <w:left w:val="single" w:color="auto" w:sz="4" w:space="0"/>
              <w:bottom w:val="single" w:color="auto" w:sz="4" w:space="0"/>
              <w:right w:val="single" w:color="auto" w:sz="4" w:space="0"/>
            </w:tcBorders>
            <w:vAlign w:val="center"/>
          </w:tcPr>
          <w:p w14:paraId="1316BA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 8897.5</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2013</w:t>
            </w:r>
          </w:p>
        </w:tc>
      </w:tr>
      <w:tr w14:paraId="26813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39" w:type="dxa"/>
            <w:vAlign w:val="center"/>
          </w:tcPr>
          <w:p w14:paraId="7F93ED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6</w:t>
            </w:r>
          </w:p>
        </w:tc>
        <w:tc>
          <w:tcPr>
            <w:tcW w:w="4005" w:type="dxa"/>
            <w:tcBorders>
              <w:top w:val="single" w:color="auto" w:sz="4" w:space="0"/>
              <w:left w:val="single" w:color="auto" w:sz="4" w:space="0"/>
              <w:bottom w:val="single" w:color="auto" w:sz="4" w:space="0"/>
              <w:right w:val="single" w:color="auto" w:sz="4" w:space="0"/>
            </w:tcBorders>
            <w:vAlign w:val="center"/>
          </w:tcPr>
          <w:p w14:paraId="1D9C08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外部短路</w:t>
            </w:r>
          </w:p>
        </w:tc>
        <w:tc>
          <w:tcPr>
            <w:tcW w:w="3918" w:type="dxa"/>
            <w:tcBorders>
              <w:top w:val="single" w:color="auto" w:sz="4" w:space="0"/>
              <w:left w:val="single" w:color="auto" w:sz="4" w:space="0"/>
              <w:bottom w:val="single" w:color="auto" w:sz="4" w:space="0"/>
              <w:right w:val="single" w:color="auto" w:sz="4" w:space="0"/>
            </w:tcBorders>
            <w:vAlign w:val="center"/>
          </w:tcPr>
          <w:p w14:paraId="5499587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 8897.5</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2013</w:t>
            </w:r>
          </w:p>
        </w:tc>
      </w:tr>
    </w:tbl>
    <w:p w14:paraId="6AFBD95C">
      <w:pPr>
        <w:keepNext w:val="0"/>
        <w:keepLines w:val="0"/>
        <w:pageBreakBefore w:val="0"/>
        <w:widowControl w:val="0"/>
        <w:kinsoku/>
        <w:wordWrap/>
        <w:overflowPunct/>
        <w:topLinePunct w:val="0"/>
        <w:autoSpaceDE/>
        <w:autoSpaceDN/>
        <w:bidi w:val="0"/>
        <w:adjustRightInd/>
        <w:snapToGrid/>
        <w:spacing w:line="560" w:lineRule="exact"/>
        <w:ind w:firstLine="552" w:firstLineChars="200"/>
        <w:jc w:val="left"/>
        <w:textAlignment w:val="auto"/>
        <w:rPr>
          <w:rFonts w:ascii="Times New Roman" w:hAnsi="Times New Roman" w:eastAsia="仿宋_GB2312" w:cs="仿宋_GB2312"/>
          <w:color w:val="auto"/>
          <w:sz w:val="28"/>
          <w:szCs w:val="28"/>
          <w:highlight w:val="none"/>
        </w:rPr>
      </w:pPr>
      <w:r>
        <w:rPr>
          <w:rFonts w:ascii="Times New Roman" w:hAnsi="Times New Roman" w:eastAsia="仿宋_GB2312" w:cs="仿宋_GB2312"/>
          <w:color w:val="auto"/>
          <w:sz w:val="28"/>
          <w:szCs w:val="28"/>
          <w:highlight w:val="none"/>
        </w:rPr>
        <w:t>注：电池根据产品说明书上的产品应用场景进行一项放电性能的测试。如未明确其产品应用场景，由检测机构按照产品通用应用场景进行一项放电性能测试</w:t>
      </w:r>
      <w:r>
        <w:rPr>
          <w:rFonts w:hint="eastAsia" w:ascii="Times New Roman" w:hAnsi="Times New Roman" w:eastAsia="仿宋_GB2312" w:cs="仿宋_GB2312"/>
          <w:color w:val="auto"/>
          <w:sz w:val="28"/>
          <w:szCs w:val="28"/>
          <w:highlight w:val="none"/>
        </w:rPr>
        <w:t>。</w:t>
      </w:r>
    </w:p>
    <w:p w14:paraId="7220032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ascii="Times New Roman" w:hAnsi="Times New Roman" w:eastAsia="楷体_GB2312" w:cs="楷体_GB2312"/>
          <w:color w:val="auto"/>
          <w:sz w:val="32"/>
          <w:szCs w:val="40"/>
          <w:highlight w:val="none"/>
        </w:rPr>
        <w:t>2.2</w:t>
      </w:r>
      <w:r>
        <w:rPr>
          <w:rFonts w:hint="eastAsia" w:ascii="Times New Roman" w:hAnsi="Times New Roman" w:eastAsia="楷体_GB2312" w:cs="楷体_GB2312"/>
          <w:color w:val="auto"/>
          <w:sz w:val="32"/>
          <w:szCs w:val="40"/>
          <w:highlight w:val="none"/>
        </w:rPr>
        <w:t xml:space="preserve"> </w:t>
      </w:r>
      <w:r>
        <w:rPr>
          <w:rFonts w:ascii="Times New Roman" w:hAnsi="Times New Roman" w:eastAsia="楷体_GB2312" w:cs="楷体_GB2312"/>
          <w:color w:val="auto"/>
          <w:sz w:val="32"/>
          <w:szCs w:val="40"/>
          <w:highlight w:val="none"/>
        </w:rPr>
        <w:t>扣式原电池（锂系）</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4005"/>
        <w:gridCol w:w="3890"/>
      </w:tblGrid>
      <w:tr w14:paraId="4667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643" w:type="dxa"/>
            <w:vAlign w:val="center"/>
          </w:tcPr>
          <w:p w14:paraId="14AD29A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序号</w:t>
            </w:r>
          </w:p>
        </w:tc>
        <w:tc>
          <w:tcPr>
            <w:tcW w:w="4005" w:type="dxa"/>
            <w:vAlign w:val="center"/>
          </w:tcPr>
          <w:p w14:paraId="11EE45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检验项目</w:t>
            </w:r>
          </w:p>
        </w:tc>
        <w:tc>
          <w:tcPr>
            <w:tcW w:w="3890" w:type="dxa"/>
            <w:vAlign w:val="center"/>
          </w:tcPr>
          <w:p w14:paraId="0A37D55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b/>
                <w:bCs/>
                <w:color w:val="auto"/>
                <w:sz w:val="28"/>
                <w:szCs w:val="28"/>
                <w:highlight w:val="none"/>
                <w:lang w:bidi="ar"/>
              </w:rPr>
            </w:pPr>
            <w:r>
              <w:rPr>
                <w:rFonts w:hint="eastAsia" w:ascii="Times New Roman" w:hAnsi="Times New Roman" w:eastAsia="仿宋_GB2312" w:cs="仿宋_GB2312"/>
                <w:b/>
                <w:bCs/>
                <w:color w:val="auto"/>
                <w:sz w:val="28"/>
                <w:szCs w:val="28"/>
                <w:highlight w:val="none"/>
                <w:lang w:bidi="ar"/>
              </w:rPr>
              <w:t>检验方法</w:t>
            </w:r>
          </w:p>
        </w:tc>
      </w:tr>
      <w:tr w14:paraId="50D5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643" w:type="dxa"/>
            <w:vAlign w:val="center"/>
          </w:tcPr>
          <w:p w14:paraId="64A66A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1</w:t>
            </w:r>
          </w:p>
        </w:tc>
        <w:tc>
          <w:tcPr>
            <w:tcW w:w="4005" w:type="dxa"/>
            <w:tcBorders>
              <w:top w:val="single" w:color="auto" w:sz="4" w:space="0"/>
              <w:left w:val="single" w:color="auto" w:sz="4" w:space="0"/>
              <w:bottom w:val="single" w:color="auto" w:sz="4" w:space="0"/>
              <w:right w:val="single" w:color="auto" w:sz="4" w:space="0"/>
            </w:tcBorders>
            <w:vAlign w:val="center"/>
          </w:tcPr>
          <w:p w14:paraId="561921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外部短路</w:t>
            </w:r>
          </w:p>
        </w:tc>
        <w:tc>
          <w:tcPr>
            <w:tcW w:w="3890" w:type="dxa"/>
            <w:tcBorders>
              <w:top w:val="single" w:color="auto" w:sz="4" w:space="0"/>
              <w:left w:val="single" w:color="auto" w:sz="4" w:space="0"/>
              <w:bottom w:val="single" w:color="auto" w:sz="4" w:space="0"/>
              <w:right w:val="single" w:color="auto" w:sz="4" w:space="0"/>
            </w:tcBorders>
            <w:vAlign w:val="center"/>
          </w:tcPr>
          <w:p w14:paraId="0D8BA6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 8897.4</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2008</w:t>
            </w:r>
          </w:p>
        </w:tc>
      </w:tr>
      <w:tr w14:paraId="3D39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643" w:type="dxa"/>
            <w:vAlign w:val="center"/>
          </w:tcPr>
          <w:p w14:paraId="08A452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2</w:t>
            </w:r>
          </w:p>
        </w:tc>
        <w:tc>
          <w:tcPr>
            <w:tcW w:w="4005" w:type="dxa"/>
            <w:tcBorders>
              <w:top w:val="single" w:color="auto" w:sz="4" w:space="0"/>
              <w:left w:val="single" w:color="auto" w:sz="4" w:space="0"/>
              <w:bottom w:val="single" w:color="auto" w:sz="4" w:space="0"/>
              <w:right w:val="single" w:color="auto" w:sz="4" w:space="0"/>
            </w:tcBorders>
            <w:vAlign w:val="center"/>
          </w:tcPr>
          <w:p w14:paraId="00DE8E7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强制放电</w:t>
            </w:r>
          </w:p>
        </w:tc>
        <w:tc>
          <w:tcPr>
            <w:tcW w:w="3890" w:type="dxa"/>
            <w:tcBorders>
              <w:top w:val="single" w:color="auto" w:sz="4" w:space="0"/>
              <w:left w:val="single" w:color="auto" w:sz="4" w:space="0"/>
              <w:bottom w:val="single" w:color="auto" w:sz="4" w:space="0"/>
              <w:right w:val="single" w:color="auto" w:sz="4" w:space="0"/>
            </w:tcBorders>
            <w:vAlign w:val="center"/>
          </w:tcPr>
          <w:p w14:paraId="35328C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 8897.4</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2008</w:t>
            </w:r>
          </w:p>
        </w:tc>
      </w:tr>
      <w:tr w14:paraId="13CD5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1643" w:type="dxa"/>
            <w:vAlign w:val="center"/>
          </w:tcPr>
          <w:p w14:paraId="26FB513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3</w:t>
            </w:r>
          </w:p>
        </w:tc>
        <w:tc>
          <w:tcPr>
            <w:tcW w:w="4005" w:type="dxa"/>
            <w:tcBorders>
              <w:top w:val="single" w:color="auto" w:sz="4" w:space="0"/>
              <w:left w:val="single" w:color="auto" w:sz="4" w:space="0"/>
              <w:bottom w:val="single" w:color="auto" w:sz="4" w:space="0"/>
              <w:right w:val="single" w:color="auto" w:sz="4" w:space="0"/>
            </w:tcBorders>
            <w:vAlign w:val="center"/>
          </w:tcPr>
          <w:p w14:paraId="593E5E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自由跌落</w:t>
            </w:r>
          </w:p>
        </w:tc>
        <w:tc>
          <w:tcPr>
            <w:tcW w:w="3890" w:type="dxa"/>
            <w:tcBorders>
              <w:top w:val="single" w:color="auto" w:sz="4" w:space="0"/>
              <w:left w:val="single" w:color="auto" w:sz="4" w:space="0"/>
              <w:bottom w:val="single" w:color="auto" w:sz="4" w:space="0"/>
              <w:right w:val="single" w:color="auto" w:sz="4" w:space="0"/>
            </w:tcBorders>
            <w:vAlign w:val="center"/>
          </w:tcPr>
          <w:p w14:paraId="0903842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 8897.4</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2008</w:t>
            </w:r>
          </w:p>
        </w:tc>
      </w:tr>
      <w:tr w14:paraId="208A4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1643" w:type="dxa"/>
            <w:vAlign w:val="center"/>
          </w:tcPr>
          <w:p w14:paraId="58D0D55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4</w:t>
            </w:r>
          </w:p>
        </w:tc>
        <w:tc>
          <w:tcPr>
            <w:tcW w:w="4005" w:type="dxa"/>
            <w:tcBorders>
              <w:top w:val="single" w:color="auto" w:sz="4" w:space="0"/>
              <w:left w:val="single" w:color="auto" w:sz="4" w:space="0"/>
              <w:bottom w:val="single" w:color="auto" w:sz="4" w:space="0"/>
              <w:right w:val="single" w:color="auto" w:sz="4" w:space="0"/>
            </w:tcBorders>
            <w:vAlign w:val="center"/>
          </w:tcPr>
          <w:p w14:paraId="1C3203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热滥用</w:t>
            </w:r>
          </w:p>
        </w:tc>
        <w:tc>
          <w:tcPr>
            <w:tcW w:w="3890" w:type="dxa"/>
            <w:tcBorders>
              <w:top w:val="single" w:color="auto" w:sz="4" w:space="0"/>
              <w:left w:val="single" w:color="auto" w:sz="4" w:space="0"/>
              <w:bottom w:val="single" w:color="auto" w:sz="4" w:space="0"/>
              <w:right w:val="single" w:color="auto" w:sz="4" w:space="0"/>
            </w:tcBorders>
            <w:vAlign w:val="center"/>
          </w:tcPr>
          <w:p w14:paraId="19486F6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rPr>
              <w:t>GB 8897.4</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2008</w:t>
            </w:r>
          </w:p>
        </w:tc>
      </w:tr>
    </w:tbl>
    <w:p w14:paraId="3E4DE23F">
      <w:pPr>
        <w:keepNext w:val="0"/>
        <w:keepLines w:val="0"/>
        <w:pageBreakBefore w:val="0"/>
        <w:widowControl w:val="0"/>
        <w:kinsoku/>
        <w:wordWrap/>
        <w:overflowPunct/>
        <w:topLinePunct w:val="0"/>
        <w:autoSpaceDE/>
        <w:autoSpaceDN/>
        <w:bidi w:val="0"/>
        <w:adjustRightInd/>
        <w:snapToGrid/>
        <w:spacing w:line="560" w:lineRule="exact"/>
        <w:ind w:firstLine="552" w:firstLineChars="200"/>
        <w:jc w:val="left"/>
        <w:textAlignment w:val="auto"/>
        <w:rPr>
          <w:rFonts w:ascii="Times New Roman" w:hAnsi="Times New Roman" w:eastAsia="仿宋_GB2312" w:cs="仿宋_GB2312"/>
          <w:color w:val="auto"/>
          <w:sz w:val="28"/>
          <w:szCs w:val="28"/>
          <w:highlight w:val="none"/>
        </w:rPr>
      </w:pPr>
      <w:r>
        <w:rPr>
          <w:rFonts w:ascii="Times New Roman" w:hAnsi="Times New Roman" w:eastAsia="仿宋_GB2312" w:cs="仿宋_GB2312"/>
          <w:color w:val="auto"/>
          <w:sz w:val="28"/>
          <w:szCs w:val="28"/>
          <w:highlight w:val="none"/>
        </w:rPr>
        <w:t>注：电池根据产品说明书上的产品应用场景进行一项放电性能的测试。如未明确其产品应用场景，由检测机构按照产品通用应用场景进行一项放电性能测试</w:t>
      </w:r>
      <w:r>
        <w:rPr>
          <w:rFonts w:hint="eastAsia" w:ascii="Times New Roman" w:hAnsi="Times New Roman" w:eastAsia="仿宋_GB2312" w:cs="仿宋_GB2312"/>
          <w:color w:val="auto"/>
          <w:sz w:val="28"/>
          <w:szCs w:val="28"/>
          <w:highlight w:val="none"/>
        </w:rPr>
        <w:t>。</w:t>
      </w:r>
    </w:p>
    <w:p w14:paraId="1149E7E9">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执行企业标准、团体标准、地方标准的产品，检验项目参照上述内容执行。</w:t>
      </w:r>
    </w:p>
    <w:p w14:paraId="1418678E">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凡是注日期的文件，其随后所有的修改单（不包括勘误的内容）或修订版不适用于本细则。凡是不注日期的文件，其最新版本适用于本细则。</w:t>
      </w:r>
    </w:p>
    <w:p w14:paraId="5E3EA481">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黑体" w:cs="黑体"/>
          <w:color w:val="auto"/>
          <w:sz w:val="32"/>
          <w:szCs w:val="40"/>
          <w:highlight w:val="none"/>
        </w:rPr>
      </w:pPr>
      <w:r>
        <w:rPr>
          <w:rFonts w:ascii="Times New Roman" w:hAnsi="Times New Roman" w:eastAsia="黑体" w:cs="黑体"/>
          <w:color w:val="auto"/>
          <w:sz w:val="32"/>
          <w:szCs w:val="40"/>
          <w:highlight w:val="none"/>
        </w:rPr>
        <w:t>3 判定规则</w:t>
      </w:r>
    </w:p>
    <w:p w14:paraId="6688D37F">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ascii="Times New Roman" w:hAnsi="Times New Roman" w:eastAsia="楷体_GB2312" w:cs="楷体_GB2312"/>
          <w:color w:val="auto"/>
          <w:sz w:val="32"/>
          <w:szCs w:val="40"/>
          <w:highlight w:val="none"/>
        </w:rPr>
        <w:t>3.1</w:t>
      </w:r>
      <w:r>
        <w:rPr>
          <w:rFonts w:hint="eastAsia" w:ascii="Times New Roman" w:hAnsi="Times New Roman" w:eastAsia="楷体_GB2312" w:cs="楷体_GB2312"/>
          <w:color w:val="auto"/>
          <w:sz w:val="32"/>
          <w:szCs w:val="40"/>
          <w:highlight w:val="none"/>
        </w:rPr>
        <w:t xml:space="preserve"> </w:t>
      </w:r>
      <w:r>
        <w:rPr>
          <w:rFonts w:ascii="Times New Roman" w:hAnsi="Times New Roman" w:eastAsia="楷体_GB2312" w:cs="楷体_GB2312"/>
          <w:color w:val="auto"/>
          <w:sz w:val="32"/>
          <w:szCs w:val="40"/>
          <w:highlight w:val="none"/>
        </w:rPr>
        <w:t>依据标准</w:t>
      </w:r>
    </w:p>
    <w:p w14:paraId="2A43B68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3.1.1</w:t>
      </w:r>
      <w:r>
        <w:rPr>
          <w:rFonts w:hint="eastAsia" w:ascii="Times New Roman" w:hAnsi="Times New Roman" w:eastAsia="仿宋_GB2312" w:cs="仿宋_GB2312"/>
          <w:color w:val="auto"/>
          <w:sz w:val="32"/>
          <w:szCs w:val="40"/>
          <w:highlight w:val="none"/>
        </w:rPr>
        <w:t xml:space="preserve"> </w:t>
      </w:r>
      <w:r>
        <w:rPr>
          <w:rFonts w:ascii="Times New Roman" w:hAnsi="Times New Roman" w:eastAsia="仿宋_GB2312" w:cs="仿宋_GB2312"/>
          <w:color w:val="auto"/>
          <w:sz w:val="32"/>
          <w:szCs w:val="40"/>
          <w:highlight w:val="none"/>
        </w:rPr>
        <w:t>强制性标准</w:t>
      </w:r>
    </w:p>
    <w:p w14:paraId="357BABD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GB 8897.4</w:t>
      </w:r>
      <w:r>
        <w:rPr>
          <w:rFonts w:hint="eastAsia" w:ascii="Times New Roman" w:hAnsi="Times New Roman" w:eastAsia="仿宋_GB2312" w:cs="仿宋_GB2312"/>
          <w:color w:val="auto"/>
          <w:sz w:val="32"/>
          <w:szCs w:val="40"/>
          <w:highlight w:val="none"/>
          <w:lang w:eastAsia="zh-CN"/>
        </w:rPr>
        <w:t>—</w:t>
      </w:r>
      <w:r>
        <w:rPr>
          <w:rFonts w:ascii="Times New Roman" w:hAnsi="Times New Roman" w:eastAsia="仿宋_GB2312" w:cs="仿宋_GB2312"/>
          <w:color w:val="auto"/>
          <w:sz w:val="32"/>
          <w:szCs w:val="40"/>
          <w:highlight w:val="none"/>
        </w:rPr>
        <w:t>2008</w:t>
      </w:r>
      <w:r>
        <w:rPr>
          <w:rFonts w:ascii="Times New Roman" w:hAnsi="Times New Roman" w:eastAsia="仿宋_GB2312" w:cs="仿宋_GB2312"/>
          <w:color w:val="auto"/>
          <w:sz w:val="32"/>
          <w:szCs w:val="40"/>
          <w:highlight w:val="none"/>
        </w:rPr>
        <w:tab/>
      </w:r>
      <w:r>
        <w:rPr>
          <w:rFonts w:ascii="Times New Roman" w:hAnsi="Times New Roman" w:eastAsia="仿宋_GB2312" w:cs="仿宋_GB2312"/>
          <w:color w:val="auto"/>
          <w:sz w:val="32"/>
          <w:szCs w:val="40"/>
          <w:highlight w:val="none"/>
        </w:rPr>
        <w:t>《原电池 第4部分：锂电池的安全要求》</w:t>
      </w:r>
    </w:p>
    <w:p w14:paraId="6BAAE888">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GB 8897.5</w:t>
      </w:r>
      <w:r>
        <w:rPr>
          <w:rFonts w:hint="eastAsia" w:ascii="Times New Roman" w:hAnsi="Times New Roman" w:eastAsia="仿宋_GB2312" w:cs="仿宋_GB2312"/>
          <w:color w:val="auto"/>
          <w:sz w:val="32"/>
          <w:szCs w:val="40"/>
          <w:highlight w:val="none"/>
          <w:lang w:eastAsia="zh-CN"/>
        </w:rPr>
        <w:t>—</w:t>
      </w:r>
      <w:r>
        <w:rPr>
          <w:rFonts w:ascii="Times New Roman" w:hAnsi="Times New Roman" w:eastAsia="仿宋_GB2312" w:cs="仿宋_GB2312"/>
          <w:color w:val="auto"/>
          <w:sz w:val="32"/>
          <w:szCs w:val="40"/>
          <w:highlight w:val="none"/>
        </w:rPr>
        <w:t>2013</w:t>
      </w:r>
      <w:r>
        <w:rPr>
          <w:rFonts w:ascii="Times New Roman" w:hAnsi="Times New Roman" w:eastAsia="仿宋_GB2312" w:cs="仿宋_GB2312"/>
          <w:color w:val="auto"/>
          <w:sz w:val="32"/>
          <w:szCs w:val="40"/>
          <w:highlight w:val="none"/>
        </w:rPr>
        <w:tab/>
      </w:r>
      <w:r>
        <w:rPr>
          <w:rFonts w:ascii="Times New Roman" w:hAnsi="Times New Roman" w:eastAsia="仿宋_GB2312" w:cs="仿宋_GB2312"/>
          <w:color w:val="auto"/>
          <w:sz w:val="32"/>
          <w:szCs w:val="40"/>
          <w:highlight w:val="none"/>
        </w:rPr>
        <w:t>《原电池 第4部分：水溶液电解质电池的安全要求》</w:t>
      </w:r>
    </w:p>
    <w:p w14:paraId="7EE1B38C">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3.1.2</w:t>
      </w:r>
      <w:r>
        <w:rPr>
          <w:rFonts w:hint="eastAsia" w:ascii="Times New Roman" w:hAnsi="Times New Roman" w:eastAsia="仿宋_GB2312" w:cs="仿宋_GB2312"/>
          <w:color w:val="auto"/>
          <w:sz w:val="32"/>
          <w:szCs w:val="40"/>
          <w:highlight w:val="none"/>
        </w:rPr>
        <w:t xml:space="preserve"> </w:t>
      </w:r>
      <w:r>
        <w:rPr>
          <w:rFonts w:ascii="Times New Roman" w:hAnsi="Times New Roman" w:eastAsia="仿宋_GB2312" w:cs="仿宋_GB2312"/>
          <w:color w:val="auto"/>
          <w:sz w:val="32"/>
          <w:szCs w:val="40"/>
          <w:highlight w:val="none"/>
        </w:rPr>
        <w:t>推荐性标准</w:t>
      </w:r>
    </w:p>
    <w:p w14:paraId="2C37749D">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GB/T 8897.1</w:t>
      </w:r>
      <w:r>
        <w:rPr>
          <w:rFonts w:hint="eastAsia" w:ascii="Times New Roman" w:hAnsi="Times New Roman" w:eastAsia="仿宋_GB2312" w:cs="仿宋_GB2312"/>
          <w:color w:val="auto"/>
          <w:sz w:val="32"/>
          <w:szCs w:val="40"/>
          <w:highlight w:val="none"/>
          <w:lang w:eastAsia="zh-CN"/>
        </w:rPr>
        <w:t>—</w:t>
      </w:r>
      <w:r>
        <w:rPr>
          <w:rFonts w:ascii="Times New Roman" w:hAnsi="Times New Roman" w:eastAsia="仿宋_GB2312" w:cs="仿宋_GB2312"/>
          <w:color w:val="auto"/>
          <w:sz w:val="32"/>
          <w:szCs w:val="40"/>
          <w:highlight w:val="none"/>
        </w:rPr>
        <w:t>2021《原电池 第1部分：总则》</w:t>
      </w:r>
    </w:p>
    <w:p w14:paraId="51E48D60">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GB/T 8897.2</w:t>
      </w:r>
      <w:r>
        <w:rPr>
          <w:rFonts w:hint="eastAsia" w:ascii="Times New Roman" w:hAnsi="Times New Roman" w:eastAsia="仿宋_GB2312" w:cs="仿宋_GB2312"/>
          <w:color w:val="auto"/>
          <w:sz w:val="32"/>
          <w:szCs w:val="40"/>
          <w:highlight w:val="none"/>
          <w:lang w:eastAsia="zh-CN"/>
        </w:rPr>
        <w:t>—</w:t>
      </w:r>
      <w:r>
        <w:rPr>
          <w:rFonts w:ascii="Times New Roman" w:hAnsi="Times New Roman" w:eastAsia="仿宋_GB2312" w:cs="仿宋_GB2312"/>
          <w:color w:val="auto"/>
          <w:sz w:val="32"/>
          <w:szCs w:val="40"/>
          <w:highlight w:val="none"/>
        </w:rPr>
        <w:t>2021《原电池 第2部分：外形尺寸和电性能要求》</w:t>
      </w:r>
    </w:p>
    <w:p w14:paraId="28D151D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现行有效的企业标准、团体标准、地方标准及产品明示质量要求</w:t>
      </w:r>
    </w:p>
    <w:p w14:paraId="21410DC5">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楷体_GB2312" w:cs="楷体_GB2312"/>
          <w:color w:val="auto"/>
          <w:sz w:val="32"/>
          <w:szCs w:val="40"/>
          <w:highlight w:val="none"/>
        </w:rPr>
      </w:pPr>
      <w:r>
        <w:rPr>
          <w:rFonts w:ascii="Times New Roman" w:hAnsi="Times New Roman" w:eastAsia="楷体_GB2312" w:cs="楷体_GB2312"/>
          <w:color w:val="auto"/>
          <w:sz w:val="32"/>
          <w:szCs w:val="40"/>
          <w:highlight w:val="none"/>
        </w:rPr>
        <w:t>3.2</w:t>
      </w:r>
      <w:r>
        <w:rPr>
          <w:rFonts w:hint="eastAsia" w:ascii="Times New Roman" w:hAnsi="Times New Roman" w:eastAsia="楷体_GB2312" w:cs="楷体_GB2312"/>
          <w:color w:val="auto"/>
          <w:sz w:val="32"/>
          <w:szCs w:val="40"/>
          <w:highlight w:val="none"/>
        </w:rPr>
        <w:t xml:space="preserve"> </w:t>
      </w:r>
      <w:r>
        <w:rPr>
          <w:rFonts w:ascii="Times New Roman" w:hAnsi="Times New Roman" w:eastAsia="楷体_GB2312" w:cs="楷体_GB2312"/>
          <w:color w:val="auto"/>
          <w:sz w:val="32"/>
          <w:szCs w:val="40"/>
          <w:highlight w:val="none"/>
        </w:rPr>
        <w:t>判定原则</w:t>
      </w:r>
    </w:p>
    <w:p w14:paraId="257B61D9">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经检验，检验项目全部合格，判定为被抽查产品所检项目未发现不合格；检验项目中任一项或一项以上不合格，判定为被抽查产品不合格。</w:t>
      </w:r>
    </w:p>
    <w:p w14:paraId="5DC90377">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若被检产品明示的质量要求高于本细则中检验项目依据的标准要求时，应按被检产品明示的质量要求判定。</w:t>
      </w:r>
    </w:p>
    <w:p w14:paraId="6D69BF14">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若被检产品明示的质量要求低于本细则中检验项目依据的强制性标准要求时，应按照强制性标准要求判定。</w:t>
      </w:r>
    </w:p>
    <w:p w14:paraId="5515464B">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若被检产品明示的质量要求低于或包含本细则中检验项目依据的推荐性标准要求时，应以被检产品明示的质量要求判定。</w:t>
      </w:r>
    </w:p>
    <w:p w14:paraId="7DE3E833">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若被检产品明示的质量要求缺少本细则中检验项目依据的强制性标准要求时，应按照强制性标准要求判定。</w:t>
      </w:r>
    </w:p>
    <w:p w14:paraId="6DCA73B2">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ascii="Times New Roman" w:hAnsi="Times New Roman" w:eastAsia="仿宋_GB2312" w:cs="仿宋_GB2312"/>
          <w:color w:val="auto"/>
          <w:sz w:val="32"/>
          <w:szCs w:val="40"/>
          <w:highlight w:val="none"/>
        </w:rPr>
      </w:pPr>
      <w:r>
        <w:rPr>
          <w:rFonts w:ascii="Times New Roman" w:hAnsi="Times New Roman" w:eastAsia="仿宋_GB2312" w:cs="仿宋_GB2312"/>
          <w:color w:val="auto"/>
          <w:sz w:val="32"/>
          <w:szCs w:val="40"/>
          <w:highlight w:val="none"/>
        </w:rPr>
        <w:t>若被检产品明示的质量要求缺少本细则中检验项目依据的推荐性标准要求时，该项目不参与判定。</w:t>
      </w:r>
    </w:p>
    <w:p w14:paraId="1A29C65F">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Times New Roman" w:hAnsi="Times New Roman" w:eastAsia="仿宋_GB2312" w:cs="仿宋_GB2312"/>
          <w:color w:val="auto"/>
          <w:sz w:val="32"/>
          <w:szCs w:val="40"/>
          <w:highlight w:val="none"/>
          <w:lang w:eastAsia="zh-CN"/>
        </w:rPr>
      </w:pPr>
    </w:p>
    <w:p w14:paraId="20A7FB3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olor w:val="auto"/>
          <w:highlight w:val="none"/>
          <w:lang w:eastAsia="zh-CN"/>
        </w:rPr>
      </w:pPr>
    </w:p>
    <w:p w14:paraId="5D7FA5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p w14:paraId="6E155D0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highlight w:val="none"/>
        </w:rPr>
      </w:pPr>
    </w:p>
    <w:sectPr>
      <w:pgSz w:w="11907" w:h="16840"/>
      <w:pgMar w:top="2098" w:right="1474" w:bottom="1701" w:left="1588" w:header="851" w:footer="1191" w:gutter="0"/>
      <w:pgNumType w:fmt="decimal"/>
      <w:cols w:space="708" w:num="1"/>
      <w:rtlGutter w:val="0"/>
      <w:docGrid w:type="linesAndChars" w:linePitch="592"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gutterAtTop/>
  <w:documentProtection w:edit="readOnly" w:enforcement="0"/>
  <w:defaultTabStop w:val="425"/>
  <w:drawingGridHorizontalSpacing w:val="158"/>
  <w:drawingGridVerticalSpacing w:val="296"/>
  <w:doNotShadeFormData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88"/>
    <w:rsid w:val="00014828"/>
    <w:rsid w:val="00156031"/>
    <w:rsid w:val="00184CE6"/>
    <w:rsid w:val="002212CC"/>
    <w:rsid w:val="00302F24"/>
    <w:rsid w:val="003A6288"/>
    <w:rsid w:val="003B259C"/>
    <w:rsid w:val="003C498A"/>
    <w:rsid w:val="00431583"/>
    <w:rsid w:val="005756B3"/>
    <w:rsid w:val="00592B81"/>
    <w:rsid w:val="005B7B88"/>
    <w:rsid w:val="00657BD1"/>
    <w:rsid w:val="00701CFD"/>
    <w:rsid w:val="00772E1B"/>
    <w:rsid w:val="00781DB8"/>
    <w:rsid w:val="007A5E2E"/>
    <w:rsid w:val="007C0522"/>
    <w:rsid w:val="007C0FA0"/>
    <w:rsid w:val="008E4AA1"/>
    <w:rsid w:val="008F79D8"/>
    <w:rsid w:val="00916826"/>
    <w:rsid w:val="00945968"/>
    <w:rsid w:val="00960D0D"/>
    <w:rsid w:val="00962673"/>
    <w:rsid w:val="009B235A"/>
    <w:rsid w:val="00A556D7"/>
    <w:rsid w:val="00A815D6"/>
    <w:rsid w:val="00AE0D5E"/>
    <w:rsid w:val="00B235FB"/>
    <w:rsid w:val="00BC4F05"/>
    <w:rsid w:val="00C365A6"/>
    <w:rsid w:val="00C710C8"/>
    <w:rsid w:val="00C917C9"/>
    <w:rsid w:val="00DC0BD1"/>
    <w:rsid w:val="00E56C68"/>
    <w:rsid w:val="00E83BD4"/>
    <w:rsid w:val="00E92B89"/>
    <w:rsid w:val="00EB4657"/>
    <w:rsid w:val="00F00B0D"/>
    <w:rsid w:val="01A1079C"/>
    <w:rsid w:val="027E1964"/>
    <w:rsid w:val="03DB40D3"/>
    <w:rsid w:val="041B45C8"/>
    <w:rsid w:val="04BC6A35"/>
    <w:rsid w:val="053E7EBA"/>
    <w:rsid w:val="05856340"/>
    <w:rsid w:val="06432F20"/>
    <w:rsid w:val="07235BC1"/>
    <w:rsid w:val="073D6060"/>
    <w:rsid w:val="079C505E"/>
    <w:rsid w:val="07D87B7D"/>
    <w:rsid w:val="07F46EE0"/>
    <w:rsid w:val="084416A8"/>
    <w:rsid w:val="086E2E87"/>
    <w:rsid w:val="086F35C8"/>
    <w:rsid w:val="091C74D8"/>
    <w:rsid w:val="09444925"/>
    <w:rsid w:val="096447C8"/>
    <w:rsid w:val="09CC1A64"/>
    <w:rsid w:val="0AD53DD3"/>
    <w:rsid w:val="0AEA2F37"/>
    <w:rsid w:val="0B7347E2"/>
    <w:rsid w:val="0B9F6D1F"/>
    <w:rsid w:val="0CBE5E64"/>
    <w:rsid w:val="0D310E43"/>
    <w:rsid w:val="0D614E7F"/>
    <w:rsid w:val="0DDB39D6"/>
    <w:rsid w:val="0E856AF0"/>
    <w:rsid w:val="0F6B46CF"/>
    <w:rsid w:val="0F9B4C0E"/>
    <w:rsid w:val="0FB571D5"/>
    <w:rsid w:val="10D80231"/>
    <w:rsid w:val="11BF04BA"/>
    <w:rsid w:val="12836D6B"/>
    <w:rsid w:val="130138BF"/>
    <w:rsid w:val="13C96B91"/>
    <w:rsid w:val="13FA596E"/>
    <w:rsid w:val="14333E72"/>
    <w:rsid w:val="147932EB"/>
    <w:rsid w:val="15495FF5"/>
    <w:rsid w:val="15DD6598"/>
    <w:rsid w:val="15EB3E34"/>
    <w:rsid w:val="16216330"/>
    <w:rsid w:val="162912DC"/>
    <w:rsid w:val="167E747B"/>
    <w:rsid w:val="185F15B7"/>
    <w:rsid w:val="1890313D"/>
    <w:rsid w:val="193E0318"/>
    <w:rsid w:val="1994748F"/>
    <w:rsid w:val="1A376B87"/>
    <w:rsid w:val="1A5C71FF"/>
    <w:rsid w:val="1A99507C"/>
    <w:rsid w:val="1AB36561"/>
    <w:rsid w:val="1B996256"/>
    <w:rsid w:val="1D012A8E"/>
    <w:rsid w:val="1D056901"/>
    <w:rsid w:val="1D721AAC"/>
    <w:rsid w:val="1DAC5769"/>
    <w:rsid w:val="1EBD7D0C"/>
    <w:rsid w:val="1ECB45A2"/>
    <w:rsid w:val="1F980D5B"/>
    <w:rsid w:val="1FC30982"/>
    <w:rsid w:val="20234AC9"/>
    <w:rsid w:val="216A6F17"/>
    <w:rsid w:val="221F6C19"/>
    <w:rsid w:val="23200223"/>
    <w:rsid w:val="232748D0"/>
    <w:rsid w:val="23473E55"/>
    <w:rsid w:val="24B42465"/>
    <w:rsid w:val="25163F37"/>
    <w:rsid w:val="253B0B07"/>
    <w:rsid w:val="256E0893"/>
    <w:rsid w:val="25985147"/>
    <w:rsid w:val="25B52B59"/>
    <w:rsid w:val="26E200D1"/>
    <w:rsid w:val="274E4091"/>
    <w:rsid w:val="27592570"/>
    <w:rsid w:val="27FD4CC3"/>
    <w:rsid w:val="27FF772E"/>
    <w:rsid w:val="287936F7"/>
    <w:rsid w:val="28826F91"/>
    <w:rsid w:val="28D82090"/>
    <w:rsid w:val="291B4288"/>
    <w:rsid w:val="2C687FA0"/>
    <w:rsid w:val="2C9613F9"/>
    <w:rsid w:val="2E9E75BF"/>
    <w:rsid w:val="2F174188"/>
    <w:rsid w:val="2F2458BE"/>
    <w:rsid w:val="2F517F93"/>
    <w:rsid w:val="2F6720C5"/>
    <w:rsid w:val="30834AED"/>
    <w:rsid w:val="31102E48"/>
    <w:rsid w:val="31447BE1"/>
    <w:rsid w:val="32A33D70"/>
    <w:rsid w:val="340E4974"/>
    <w:rsid w:val="341E6BB6"/>
    <w:rsid w:val="37115FDB"/>
    <w:rsid w:val="37144563"/>
    <w:rsid w:val="38524B29"/>
    <w:rsid w:val="3925095F"/>
    <w:rsid w:val="39456A32"/>
    <w:rsid w:val="39635633"/>
    <w:rsid w:val="39D95CDA"/>
    <w:rsid w:val="39E812B8"/>
    <w:rsid w:val="3A2B6C29"/>
    <w:rsid w:val="3BCD1C28"/>
    <w:rsid w:val="3C736FE9"/>
    <w:rsid w:val="3D20589F"/>
    <w:rsid w:val="3D912420"/>
    <w:rsid w:val="3DE87AD1"/>
    <w:rsid w:val="3FEF3843"/>
    <w:rsid w:val="3FF22824"/>
    <w:rsid w:val="402579EF"/>
    <w:rsid w:val="40AE5AE3"/>
    <w:rsid w:val="41A7234A"/>
    <w:rsid w:val="41C10054"/>
    <w:rsid w:val="41EC24D3"/>
    <w:rsid w:val="41FC67D2"/>
    <w:rsid w:val="42520A34"/>
    <w:rsid w:val="42AB766E"/>
    <w:rsid w:val="44096B34"/>
    <w:rsid w:val="45325696"/>
    <w:rsid w:val="45513DF0"/>
    <w:rsid w:val="459776EA"/>
    <w:rsid w:val="45E30CC2"/>
    <w:rsid w:val="47342AA3"/>
    <w:rsid w:val="47BA1797"/>
    <w:rsid w:val="4932582C"/>
    <w:rsid w:val="496D6B7A"/>
    <w:rsid w:val="4AB467A0"/>
    <w:rsid w:val="4C061047"/>
    <w:rsid w:val="4C7B3EBD"/>
    <w:rsid w:val="4C8E7B69"/>
    <w:rsid w:val="4EA32DF5"/>
    <w:rsid w:val="4FD41305"/>
    <w:rsid w:val="4FD846E5"/>
    <w:rsid w:val="50CB6455"/>
    <w:rsid w:val="522107C7"/>
    <w:rsid w:val="527728CF"/>
    <w:rsid w:val="529A56E5"/>
    <w:rsid w:val="52EA2216"/>
    <w:rsid w:val="533D7221"/>
    <w:rsid w:val="542F126D"/>
    <w:rsid w:val="543D4F4A"/>
    <w:rsid w:val="545C7631"/>
    <w:rsid w:val="55337340"/>
    <w:rsid w:val="578D5C8D"/>
    <w:rsid w:val="58132276"/>
    <w:rsid w:val="58C96821"/>
    <w:rsid w:val="59451F20"/>
    <w:rsid w:val="5999137D"/>
    <w:rsid w:val="59EC333F"/>
    <w:rsid w:val="5C384CFF"/>
    <w:rsid w:val="5C505101"/>
    <w:rsid w:val="5E01252F"/>
    <w:rsid w:val="5E0516D4"/>
    <w:rsid w:val="5E4009F6"/>
    <w:rsid w:val="5E59557E"/>
    <w:rsid w:val="5F245B8C"/>
    <w:rsid w:val="5F432E56"/>
    <w:rsid w:val="5F6B10F1"/>
    <w:rsid w:val="5F6E2E8A"/>
    <w:rsid w:val="5F925673"/>
    <w:rsid w:val="5F9A1412"/>
    <w:rsid w:val="5FA016B7"/>
    <w:rsid w:val="5FD54DA6"/>
    <w:rsid w:val="60334A70"/>
    <w:rsid w:val="61992351"/>
    <w:rsid w:val="62A33EE9"/>
    <w:rsid w:val="62EE6255"/>
    <w:rsid w:val="63C347C1"/>
    <w:rsid w:val="640E2967"/>
    <w:rsid w:val="657F507F"/>
    <w:rsid w:val="660B02F6"/>
    <w:rsid w:val="660E5D3D"/>
    <w:rsid w:val="66705A4E"/>
    <w:rsid w:val="66757D4D"/>
    <w:rsid w:val="66D151D1"/>
    <w:rsid w:val="67041B93"/>
    <w:rsid w:val="68490412"/>
    <w:rsid w:val="68B539CC"/>
    <w:rsid w:val="69B97B02"/>
    <w:rsid w:val="69BF4BE5"/>
    <w:rsid w:val="69D05495"/>
    <w:rsid w:val="6A162576"/>
    <w:rsid w:val="6A1D632D"/>
    <w:rsid w:val="6A204CEB"/>
    <w:rsid w:val="6BBF5F61"/>
    <w:rsid w:val="6BE90990"/>
    <w:rsid w:val="6CB24EA6"/>
    <w:rsid w:val="6D5A21D9"/>
    <w:rsid w:val="6ED16876"/>
    <w:rsid w:val="6F411350"/>
    <w:rsid w:val="6FA6511A"/>
    <w:rsid w:val="71B714C2"/>
    <w:rsid w:val="72135F89"/>
    <w:rsid w:val="72BA23DD"/>
    <w:rsid w:val="735F08BF"/>
    <w:rsid w:val="73621BBF"/>
    <w:rsid w:val="73DC5D2F"/>
    <w:rsid w:val="74C12055"/>
    <w:rsid w:val="74C50E20"/>
    <w:rsid w:val="74D317F8"/>
    <w:rsid w:val="74DA7262"/>
    <w:rsid w:val="75EA08FF"/>
    <w:rsid w:val="792D5E2C"/>
    <w:rsid w:val="793E3593"/>
    <w:rsid w:val="7A670DD8"/>
    <w:rsid w:val="7C2F522D"/>
    <w:rsid w:val="7DA24632"/>
    <w:rsid w:val="7F235CB7"/>
    <w:rsid w:val="7F513DD4"/>
    <w:rsid w:val="7FCA688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center"/>
      <w:outlineLvl w:val="0"/>
    </w:pPr>
    <w:rPr>
      <w:rFonts w:ascii="方正小标宋简体" w:eastAsia="方正小标宋简体"/>
      <w:kern w:val="44"/>
      <w:sz w:val="38"/>
    </w:rPr>
  </w:style>
  <w:style w:type="paragraph" w:styleId="3">
    <w:name w:val="heading 2"/>
    <w:basedOn w:val="1"/>
    <w:next w:val="1"/>
    <w:qFormat/>
    <w:uiPriority w:val="0"/>
    <w:pPr>
      <w:keepNext/>
      <w:keepLines/>
      <w:spacing w:line="600" w:lineRule="exact"/>
      <w:outlineLvl w:val="1"/>
    </w:pPr>
    <w:rPr>
      <w:rFonts w:ascii="Arial" w:hAnsi="Arial" w:eastAsia="黑体"/>
      <w:sz w:val="30"/>
    </w:rPr>
  </w:style>
  <w:style w:type="paragraph" w:styleId="4">
    <w:name w:val="heading 3"/>
    <w:basedOn w:val="1"/>
    <w:next w:val="1"/>
    <w:qFormat/>
    <w:uiPriority w:val="0"/>
    <w:pPr>
      <w:keepNext/>
      <w:keepLines/>
      <w:spacing w:line="600" w:lineRule="exact"/>
      <w:outlineLvl w:val="2"/>
    </w:pPr>
    <w:rPr>
      <w:rFonts w:eastAsia="楷体_GB2312"/>
      <w:b/>
      <w:sz w:val="30"/>
    </w:rPr>
  </w:style>
  <w:style w:type="character" w:default="1" w:styleId="12">
    <w:name w:val="Default Paragraph Font"/>
    <w:uiPriority w:val="0"/>
  </w:style>
  <w:style w:type="table" w:default="1" w:styleId="10">
    <w:name w:val="Normal Table"/>
    <w:semiHidden/>
    <w:uiPriority w:val="0"/>
    <w:tblPr>
      <w:tblCellMar>
        <w:top w:w="0" w:type="dxa"/>
        <w:left w:w="108" w:type="dxa"/>
        <w:bottom w:w="0" w:type="dxa"/>
        <w:right w:w="108" w:type="dxa"/>
      </w:tblCellMar>
    </w:tblPr>
  </w:style>
  <w:style w:type="paragraph" w:styleId="5">
    <w:name w:val="Date"/>
    <w:basedOn w:val="1"/>
    <w:next w:val="1"/>
    <w:uiPriority w:val="0"/>
    <w:pPr>
      <w:spacing w:line="600" w:lineRule="exact"/>
      <w:ind w:left="4253" w:leftChars="0"/>
    </w:pPr>
    <w:rPr>
      <w:sz w:val="3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paragraph" w:styleId="8">
    <w:name w:val="Signature"/>
    <w:basedOn w:val="1"/>
    <w:qFormat/>
    <w:uiPriority w:val="0"/>
    <w:pPr>
      <w:spacing w:line="600" w:lineRule="exact"/>
      <w:ind w:left="4253" w:leftChars="0"/>
    </w:pPr>
    <w:rPr>
      <w:sz w:val="30"/>
    </w:rPr>
  </w:style>
  <w:style w:type="paragraph" w:styleId="9">
    <w:name w:val="toc 2"/>
    <w:basedOn w:val="1"/>
    <w:next w:val="1"/>
    <w:qFormat/>
    <w:uiPriority w:val="0"/>
    <w:pPr>
      <w:ind w:left="420" w:leftChars="200"/>
    </w:pPr>
  </w:style>
  <w:style w:type="table" w:styleId="11">
    <w:name w:val="Table Grid"/>
    <w:unhideWhenUsed/>
    <w:qFormat/>
    <w:uiPriority w:val="99"/>
    <w:rPr>
      <w:rFonts w:ascii="Calibri" w:hAnsi="Calibri"/>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3">
    <w:name w:val="page number"/>
    <w:basedOn w:val="12"/>
    <w:qFormat/>
    <w:uiPriority w:val="0"/>
  </w:style>
  <w:style w:type="character" w:customStyle="1" w:styleId="14">
    <w:name w:val="font111"/>
    <w:basedOn w:val="12"/>
    <w:qFormat/>
    <w:uiPriority w:val="0"/>
    <w:rPr>
      <w:rFonts w:hint="eastAsia" w:ascii="仿宋" w:hAnsi="仿宋" w:eastAsia="仿宋" w:cs="仿宋"/>
      <w:color w:val="000000"/>
      <w:sz w:val="28"/>
      <w:szCs w:val="28"/>
      <w:u w:val="none"/>
    </w:rPr>
  </w:style>
  <w:style w:type="paragraph" w:customStyle="1" w:styleId="15">
    <w:name w:val="主题词"/>
    <w:basedOn w:val="1"/>
    <w:qFormat/>
    <w:uiPriority w:val="0"/>
    <w:pPr>
      <w:spacing w:after="156" w:afterLines="50" w:afterAutospacing="0"/>
    </w:pPr>
    <w:rPr>
      <w:rFonts w:eastAsia="方正小标宋简体"/>
    </w:rPr>
  </w:style>
  <w:style w:type="table" w:customStyle="1" w:styleId="16">
    <w:name w:val="Table Grid_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7">
    <w:name w:val="Table Normal"/>
    <w:qFormat/>
    <w:uiPriority w:val="0"/>
    <w:tblPr>
      <w:tblCellMar>
        <w:top w:w="0" w:type="dxa"/>
        <w:left w:w="0" w:type="dxa"/>
        <w:bottom w:w="0" w:type="dxa"/>
        <w:right w:w="0" w:type="dxa"/>
      </w:tblCellMar>
    </w:tblPr>
  </w:style>
  <w:style w:type="table" w:customStyle="1" w:styleId="18">
    <w:name w:val="Table Grid_0_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9">
    <w:name w:val="Table Grid_0_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A4.dot</Template>
  <Company>gdgsj</Company>
  <Pages>4</Pages>
  <Words>1007</Words>
  <Characters>1213</Characters>
  <Lines>1</Lines>
  <Paragraphs>1</Paragraphs>
  <TotalTime>157344000</TotalTime>
  <ScaleCrop>false</ScaleCrop>
  <LinksUpToDate>false</LinksUpToDate>
  <CharactersWithSpaces>1246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2018-10-22T03:28:00Z</dcterms:created>
  <dc:creator>Administrator</dc:creator>
  <cp:lastModifiedBy>cui</cp:lastModifiedBy>
  <cp:lastPrinted>2022-06-08T02:39:00Z</cp:lastPrinted>
  <dcterms:modified xsi:type="dcterms:W3CDTF">2026-07-10T02:31:02Z</dcterms:modified>
  <dc:title>广东省市场监督管理局</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7818195A3F56495C8F68D785CAB9DC63_13</vt:lpwstr>
  </property>
  <property fmtid="{D5CDD505-2E9C-101B-9397-08002B2CF9AE}" pid="3" name="KSOProductBuildVer">
    <vt:lpwstr>2052-12.1.0.26895</vt:lpwstr>
  </property>
  <property fmtid="{D5CDD505-2E9C-101B-9397-08002B2CF9AE}" pid="4" name="KSOTemplateDocerSaveRecord">
    <vt:lpwstr>eyJoZGlkIjoiMDk3M2U0ZDQ4YzMyZDhlMTI3OWMwYjE2N2QwMmUxMGEiLCJ1c2VySWQiOiI0Mjk3ODY0MzAifQ==</vt:lpwstr>
  </property>
</Properties>
</file>