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AAF040">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r>
        <w:rPr>
          <w:rFonts w:hint="eastAsia" w:eastAsia="方正小标宋简体" w:cs="方正小标宋简体"/>
          <w:color w:val="auto"/>
          <w:sz w:val="44"/>
          <w:szCs w:val="44"/>
          <w:highlight w:val="none"/>
          <w:lang w:val="en-US" w:eastAsia="zh-CN"/>
        </w:rPr>
        <w:t>东莞市</w:t>
      </w:r>
      <w:bookmarkStart w:id="0" w:name="_GoBack"/>
      <w:bookmarkEnd w:id="0"/>
      <w:r>
        <w:rPr>
          <w:rFonts w:hint="eastAsia" w:ascii="Times New Roman" w:hAnsi="Times New Roman" w:eastAsia="方正小标宋简体" w:cs="方正小标宋简体"/>
          <w:color w:val="auto"/>
          <w:sz w:val="44"/>
          <w:szCs w:val="44"/>
          <w:highlight w:val="none"/>
          <w:lang w:val="en-US" w:eastAsia="zh-CN"/>
        </w:rPr>
        <w:t>室内塑料垃圾桶</w:t>
      </w:r>
      <w:r>
        <w:rPr>
          <w:rFonts w:hint="eastAsia" w:ascii="Times New Roman" w:hAnsi="Times New Roman" w:eastAsia="方正小标宋简体" w:cs="方正小标宋简体"/>
          <w:color w:val="auto"/>
          <w:sz w:val="44"/>
          <w:szCs w:val="44"/>
          <w:highlight w:val="none"/>
        </w:rPr>
        <w:t>产品质量监督抽查</w:t>
      </w:r>
    </w:p>
    <w:p w14:paraId="1ABFC574">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r>
        <w:rPr>
          <w:rFonts w:hint="eastAsia" w:ascii="Times New Roman" w:hAnsi="Times New Roman" w:eastAsia="方正小标宋简体" w:cs="方正小标宋简体"/>
          <w:color w:val="auto"/>
          <w:sz w:val="44"/>
          <w:szCs w:val="44"/>
          <w:highlight w:val="none"/>
        </w:rPr>
        <w:t>实施细则</w:t>
      </w:r>
    </w:p>
    <w:p w14:paraId="4D9DF0DA">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55EFC5FB">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78D08D8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1 抽样方法</w:t>
      </w:r>
    </w:p>
    <w:p w14:paraId="2451FD6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以随机抽样的方式在被抽查</w:t>
      </w:r>
      <w:r>
        <w:rPr>
          <w:rFonts w:hint="eastAsia" w:ascii="Times New Roman" w:hAnsi="Times New Roman" w:cs="仿宋_GB2312"/>
          <w:color w:val="auto"/>
          <w:sz w:val="32"/>
          <w:szCs w:val="40"/>
          <w:highlight w:val="none"/>
          <w:lang w:eastAsia="zh-CN"/>
        </w:rPr>
        <w:t>经营主体</w:t>
      </w:r>
      <w:r>
        <w:rPr>
          <w:rFonts w:ascii="Times New Roman" w:hAnsi="Times New Roman" w:eastAsia="仿宋_GB2312" w:cs="仿宋_GB2312"/>
          <w:color w:val="auto"/>
          <w:sz w:val="32"/>
          <w:szCs w:val="40"/>
          <w:highlight w:val="none"/>
        </w:rPr>
        <w:t>的待销产品中抽取。</w:t>
      </w:r>
    </w:p>
    <w:p w14:paraId="6428121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随机数一般可使用随机数表等方法产生。</w:t>
      </w:r>
    </w:p>
    <w:p w14:paraId="3BC555E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每款产品抽取2组样本，第1组用于检验，第2组用于备样。</w:t>
      </w:r>
    </w:p>
    <w:p w14:paraId="682C3E0A">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每组样本需抽取样品数量如下表所示：</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3172"/>
        <w:gridCol w:w="2400"/>
        <w:gridCol w:w="2459"/>
      </w:tblGrid>
      <w:tr w14:paraId="6B7CE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9" w:type="dxa"/>
            <w:noWrap/>
            <w:vAlign w:val="center"/>
          </w:tcPr>
          <w:p w14:paraId="4536D62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ascii="Times New Roman" w:hAnsi="Times New Roman" w:eastAsia="仿宋_GB2312" w:cs="仿宋_GB2312"/>
                <w:b/>
                <w:bCs/>
                <w:color w:val="auto"/>
                <w:sz w:val="28"/>
                <w:szCs w:val="28"/>
                <w:highlight w:val="none"/>
                <w:lang w:bidi="ar"/>
              </w:rPr>
              <w:t>序号</w:t>
            </w:r>
          </w:p>
        </w:tc>
        <w:tc>
          <w:tcPr>
            <w:tcW w:w="3172" w:type="dxa"/>
            <w:noWrap/>
            <w:vAlign w:val="center"/>
          </w:tcPr>
          <w:p w14:paraId="322850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ascii="Times New Roman" w:hAnsi="Times New Roman" w:eastAsia="仿宋_GB2312" w:cs="仿宋_GB2312"/>
                <w:b/>
                <w:bCs/>
                <w:color w:val="auto"/>
                <w:sz w:val="28"/>
                <w:szCs w:val="28"/>
                <w:highlight w:val="none"/>
                <w:lang w:bidi="ar"/>
              </w:rPr>
              <w:t>产品名称</w:t>
            </w:r>
          </w:p>
        </w:tc>
        <w:tc>
          <w:tcPr>
            <w:tcW w:w="2400" w:type="dxa"/>
            <w:noWrap/>
            <w:vAlign w:val="center"/>
          </w:tcPr>
          <w:p w14:paraId="353D2D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ascii="Times New Roman" w:hAnsi="Times New Roman" w:eastAsia="仿宋_GB2312" w:cs="仿宋_GB2312"/>
                <w:b/>
                <w:bCs/>
                <w:color w:val="auto"/>
                <w:sz w:val="28"/>
                <w:szCs w:val="28"/>
                <w:highlight w:val="none"/>
                <w:lang w:bidi="ar"/>
              </w:rPr>
              <w:t>第1组数量</w:t>
            </w:r>
          </w:p>
        </w:tc>
        <w:tc>
          <w:tcPr>
            <w:tcW w:w="2459" w:type="dxa"/>
            <w:noWrap/>
          </w:tcPr>
          <w:p w14:paraId="1A62A3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ascii="Times New Roman" w:hAnsi="Times New Roman" w:eastAsia="仿宋_GB2312" w:cs="仿宋_GB2312"/>
                <w:b/>
                <w:bCs/>
                <w:color w:val="auto"/>
                <w:sz w:val="28"/>
                <w:szCs w:val="28"/>
                <w:highlight w:val="none"/>
                <w:lang w:bidi="ar"/>
              </w:rPr>
              <w:t>第2组数量</w:t>
            </w:r>
          </w:p>
        </w:tc>
      </w:tr>
      <w:tr w14:paraId="69EC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99" w:type="dxa"/>
            <w:noWrap/>
            <w:vAlign w:val="center"/>
          </w:tcPr>
          <w:p w14:paraId="3CE0A4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3172" w:type="dxa"/>
            <w:noWrap/>
            <w:vAlign w:val="center"/>
          </w:tcPr>
          <w:p w14:paraId="58ECCA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室内塑料垃圾桶</w:t>
            </w:r>
          </w:p>
        </w:tc>
        <w:tc>
          <w:tcPr>
            <w:tcW w:w="2400" w:type="dxa"/>
            <w:noWrap/>
            <w:vAlign w:val="center"/>
          </w:tcPr>
          <w:p w14:paraId="29E7E9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3个</w:t>
            </w:r>
          </w:p>
        </w:tc>
        <w:tc>
          <w:tcPr>
            <w:tcW w:w="2459" w:type="dxa"/>
            <w:noWrap/>
            <w:vAlign w:val="center"/>
          </w:tcPr>
          <w:p w14:paraId="07C93D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2个</w:t>
            </w:r>
          </w:p>
        </w:tc>
      </w:tr>
    </w:tbl>
    <w:p w14:paraId="147781F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32"/>
          <w:highlight w:val="none"/>
        </w:rPr>
      </w:pPr>
      <w:r>
        <w:rPr>
          <w:rFonts w:hint="eastAsia" w:ascii="Times New Roman" w:hAnsi="Times New Roman" w:eastAsia="黑体" w:cs="黑体"/>
          <w:color w:val="auto"/>
          <w:sz w:val="32"/>
          <w:szCs w:val="32"/>
          <w:highlight w:val="none"/>
        </w:rPr>
        <w:t>2 检验依据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4212"/>
        <w:gridCol w:w="3354"/>
      </w:tblGrid>
      <w:tr w14:paraId="18F7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304" w:type="dxa"/>
            <w:tcBorders>
              <w:top w:val="single" w:color="auto" w:sz="4" w:space="0"/>
              <w:left w:val="single" w:color="auto" w:sz="4" w:space="0"/>
              <w:right w:val="single" w:color="auto" w:sz="4" w:space="0"/>
            </w:tcBorders>
            <w:vAlign w:val="center"/>
          </w:tcPr>
          <w:p w14:paraId="5BCAF9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212" w:type="dxa"/>
            <w:tcBorders>
              <w:top w:val="single" w:color="auto" w:sz="4" w:space="0"/>
              <w:left w:val="single" w:color="auto" w:sz="4" w:space="0"/>
              <w:right w:val="single" w:color="auto" w:sz="4" w:space="0"/>
            </w:tcBorders>
            <w:vAlign w:val="center"/>
          </w:tcPr>
          <w:p w14:paraId="2BD050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3354" w:type="dxa"/>
            <w:tcBorders>
              <w:top w:val="single" w:color="auto" w:sz="4" w:space="0"/>
              <w:left w:val="single" w:color="auto" w:sz="4" w:space="0"/>
              <w:right w:val="single" w:color="auto" w:sz="4" w:space="0"/>
            </w:tcBorders>
            <w:vAlign w:val="center"/>
          </w:tcPr>
          <w:p w14:paraId="241BDF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0C52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04" w:type="dxa"/>
            <w:tcBorders>
              <w:top w:val="single" w:color="auto" w:sz="4" w:space="0"/>
              <w:left w:val="single" w:color="auto" w:sz="4" w:space="0"/>
              <w:bottom w:val="single" w:color="auto" w:sz="4" w:space="0"/>
              <w:right w:val="single" w:color="auto" w:sz="4" w:space="0"/>
            </w:tcBorders>
            <w:vAlign w:val="center"/>
          </w:tcPr>
          <w:p w14:paraId="11724B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212" w:type="dxa"/>
            <w:tcBorders>
              <w:top w:val="single" w:color="auto" w:sz="4" w:space="0"/>
              <w:left w:val="single" w:color="auto" w:sz="4" w:space="0"/>
              <w:bottom w:val="single" w:color="auto" w:sz="4" w:space="0"/>
              <w:right w:val="single" w:color="auto" w:sz="4" w:space="0"/>
            </w:tcBorders>
            <w:vAlign w:val="center"/>
          </w:tcPr>
          <w:p w14:paraId="4963061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耐温性能</w:t>
            </w:r>
          </w:p>
        </w:tc>
        <w:tc>
          <w:tcPr>
            <w:tcW w:w="3354" w:type="dxa"/>
            <w:vMerge w:val="restart"/>
            <w:tcBorders>
              <w:top w:val="single" w:color="auto" w:sz="4" w:space="0"/>
              <w:left w:val="single" w:color="auto" w:sz="4" w:space="0"/>
              <w:bottom w:val="single" w:color="auto" w:sz="4" w:space="0"/>
              <w:right w:val="single" w:color="auto" w:sz="4" w:space="0"/>
            </w:tcBorders>
            <w:vAlign w:val="center"/>
          </w:tcPr>
          <w:p w14:paraId="63B1AD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28797</w:t>
            </w:r>
            <w:r>
              <w:rPr>
                <w:rFonts w:hint="eastAsia" w:ascii="Times New Roman" w:hAnsi="Times New Roman"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2012</w:t>
            </w:r>
          </w:p>
        </w:tc>
      </w:tr>
      <w:tr w14:paraId="3653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04" w:type="dxa"/>
            <w:tcBorders>
              <w:top w:val="single" w:color="auto" w:sz="4" w:space="0"/>
              <w:left w:val="single" w:color="auto" w:sz="4" w:space="0"/>
              <w:bottom w:val="single" w:color="auto" w:sz="4" w:space="0"/>
              <w:right w:val="single" w:color="auto" w:sz="4" w:space="0"/>
            </w:tcBorders>
            <w:vAlign w:val="center"/>
          </w:tcPr>
          <w:p w14:paraId="328106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212" w:type="dxa"/>
            <w:tcBorders>
              <w:top w:val="single" w:color="auto" w:sz="4" w:space="0"/>
              <w:left w:val="single" w:color="auto" w:sz="4" w:space="0"/>
              <w:bottom w:val="single" w:color="auto" w:sz="4" w:space="0"/>
              <w:right w:val="single" w:color="auto" w:sz="4" w:space="0"/>
            </w:tcBorders>
            <w:vAlign w:val="center"/>
          </w:tcPr>
          <w:p w14:paraId="568F2D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操作性</w:t>
            </w:r>
          </w:p>
        </w:tc>
        <w:tc>
          <w:tcPr>
            <w:tcW w:w="3354" w:type="dxa"/>
            <w:vMerge w:val="continue"/>
            <w:tcBorders>
              <w:top w:val="single" w:color="auto" w:sz="4" w:space="0"/>
              <w:left w:val="single" w:color="auto" w:sz="4" w:space="0"/>
              <w:bottom w:val="single" w:color="auto" w:sz="4" w:space="0"/>
              <w:right w:val="single" w:color="auto" w:sz="4" w:space="0"/>
            </w:tcBorders>
            <w:vAlign w:val="center"/>
          </w:tcPr>
          <w:p w14:paraId="57B170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p>
        </w:tc>
      </w:tr>
      <w:tr w14:paraId="20DE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04" w:type="dxa"/>
            <w:tcBorders>
              <w:top w:val="single" w:color="auto" w:sz="4" w:space="0"/>
              <w:left w:val="single" w:color="auto" w:sz="4" w:space="0"/>
              <w:bottom w:val="single" w:color="auto" w:sz="4" w:space="0"/>
              <w:right w:val="single" w:color="auto" w:sz="4" w:space="0"/>
            </w:tcBorders>
            <w:vAlign w:val="center"/>
          </w:tcPr>
          <w:p w14:paraId="6905BAE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212" w:type="dxa"/>
            <w:tcBorders>
              <w:top w:val="single" w:color="auto" w:sz="4" w:space="0"/>
              <w:left w:val="single" w:color="auto" w:sz="4" w:space="0"/>
              <w:bottom w:val="single" w:color="auto" w:sz="4" w:space="0"/>
              <w:right w:val="single" w:color="auto" w:sz="4" w:space="0"/>
            </w:tcBorders>
            <w:vAlign w:val="center"/>
          </w:tcPr>
          <w:p w14:paraId="59691B6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盛装性能</w:t>
            </w:r>
          </w:p>
        </w:tc>
        <w:tc>
          <w:tcPr>
            <w:tcW w:w="3354" w:type="dxa"/>
            <w:vMerge w:val="continue"/>
            <w:tcBorders>
              <w:top w:val="single" w:color="auto" w:sz="4" w:space="0"/>
              <w:left w:val="single" w:color="auto" w:sz="4" w:space="0"/>
              <w:bottom w:val="single" w:color="auto" w:sz="4" w:space="0"/>
              <w:right w:val="single" w:color="auto" w:sz="4" w:space="0"/>
            </w:tcBorders>
            <w:vAlign w:val="center"/>
          </w:tcPr>
          <w:p w14:paraId="7A840A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p>
        </w:tc>
      </w:tr>
      <w:tr w14:paraId="1361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04" w:type="dxa"/>
            <w:tcBorders>
              <w:top w:val="single" w:color="auto" w:sz="4" w:space="0"/>
              <w:left w:val="single" w:color="auto" w:sz="4" w:space="0"/>
              <w:bottom w:val="single" w:color="auto" w:sz="4" w:space="0"/>
              <w:right w:val="single" w:color="auto" w:sz="4" w:space="0"/>
            </w:tcBorders>
            <w:vAlign w:val="center"/>
          </w:tcPr>
          <w:p w14:paraId="1EAB499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212" w:type="dxa"/>
            <w:tcBorders>
              <w:top w:val="single" w:color="auto" w:sz="4" w:space="0"/>
              <w:left w:val="single" w:color="auto" w:sz="4" w:space="0"/>
              <w:bottom w:val="single" w:color="auto" w:sz="4" w:space="0"/>
              <w:right w:val="single" w:color="auto" w:sz="4" w:space="0"/>
            </w:tcBorders>
            <w:vAlign w:val="center"/>
          </w:tcPr>
          <w:p w14:paraId="5EF3E4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放置稳定性能</w:t>
            </w:r>
          </w:p>
        </w:tc>
        <w:tc>
          <w:tcPr>
            <w:tcW w:w="3354" w:type="dxa"/>
            <w:vMerge w:val="continue"/>
            <w:tcBorders>
              <w:top w:val="single" w:color="auto" w:sz="4" w:space="0"/>
              <w:left w:val="single" w:color="auto" w:sz="4" w:space="0"/>
              <w:bottom w:val="single" w:color="auto" w:sz="4" w:space="0"/>
              <w:right w:val="single" w:color="auto" w:sz="4" w:space="0"/>
            </w:tcBorders>
            <w:vAlign w:val="center"/>
          </w:tcPr>
          <w:p w14:paraId="60632D6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p>
        </w:tc>
      </w:tr>
      <w:tr w14:paraId="0495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04" w:type="dxa"/>
            <w:tcBorders>
              <w:top w:val="single" w:color="auto" w:sz="4" w:space="0"/>
              <w:left w:val="single" w:color="auto" w:sz="4" w:space="0"/>
              <w:bottom w:val="single" w:color="auto" w:sz="4" w:space="0"/>
              <w:right w:val="single" w:color="auto" w:sz="4" w:space="0"/>
            </w:tcBorders>
            <w:vAlign w:val="center"/>
          </w:tcPr>
          <w:p w14:paraId="5E25DF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212" w:type="dxa"/>
            <w:tcBorders>
              <w:top w:val="single" w:color="auto" w:sz="4" w:space="0"/>
              <w:left w:val="single" w:color="auto" w:sz="4" w:space="0"/>
              <w:bottom w:val="single" w:color="auto" w:sz="4" w:space="0"/>
              <w:right w:val="single" w:color="auto" w:sz="4" w:space="0"/>
            </w:tcBorders>
            <w:vAlign w:val="center"/>
          </w:tcPr>
          <w:p w14:paraId="53FCA1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提手强度</w:t>
            </w:r>
          </w:p>
        </w:tc>
        <w:tc>
          <w:tcPr>
            <w:tcW w:w="3354" w:type="dxa"/>
            <w:vMerge w:val="continue"/>
            <w:tcBorders>
              <w:top w:val="single" w:color="auto" w:sz="4" w:space="0"/>
              <w:left w:val="single" w:color="auto" w:sz="4" w:space="0"/>
              <w:bottom w:val="single" w:color="auto" w:sz="4" w:space="0"/>
              <w:right w:val="single" w:color="auto" w:sz="4" w:space="0"/>
            </w:tcBorders>
            <w:vAlign w:val="center"/>
          </w:tcPr>
          <w:p w14:paraId="7EBD3F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p>
        </w:tc>
      </w:tr>
      <w:tr w14:paraId="2A238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304" w:type="dxa"/>
            <w:tcBorders>
              <w:top w:val="single" w:color="auto" w:sz="4" w:space="0"/>
              <w:left w:val="single" w:color="auto" w:sz="4" w:space="0"/>
              <w:bottom w:val="single" w:color="auto" w:sz="4" w:space="0"/>
              <w:right w:val="single" w:color="auto" w:sz="4" w:space="0"/>
            </w:tcBorders>
            <w:vAlign w:val="center"/>
          </w:tcPr>
          <w:p w14:paraId="0507568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212" w:type="dxa"/>
            <w:tcBorders>
              <w:top w:val="single" w:color="auto" w:sz="4" w:space="0"/>
              <w:left w:val="single" w:color="auto" w:sz="4" w:space="0"/>
              <w:bottom w:val="single" w:color="auto" w:sz="4" w:space="0"/>
              <w:right w:val="single" w:color="auto" w:sz="4" w:space="0"/>
            </w:tcBorders>
            <w:vAlign w:val="center"/>
          </w:tcPr>
          <w:p w14:paraId="17CA89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内桶跌落性能</w:t>
            </w:r>
          </w:p>
        </w:tc>
        <w:tc>
          <w:tcPr>
            <w:tcW w:w="3354" w:type="dxa"/>
            <w:vMerge w:val="continue"/>
            <w:tcBorders>
              <w:top w:val="single" w:color="auto" w:sz="4" w:space="0"/>
              <w:left w:val="single" w:color="auto" w:sz="4" w:space="0"/>
              <w:bottom w:val="single" w:color="auto" w:sz="4" w:space="0"/>
              <w:right w:val="single" w:color="auto" w:sz="4" w:space="0"/>
            </w:tcBorders>
            <w:vAlign w:val="center"/>
          </w:tcPr>
          <w:p w14:paraId="6F3515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p>
        </w:tc>
      </w:tr>
      <w:tr w14:paraId="5585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870" w:type="dxa"/>
            <w:gridSpan w:val="3"/>
            <w:tcBorders>
              <w:top w:val="single" w:color="auto" w:sz="4" w:space="0"/>
              <w:left w:val="single" w:color="auto" w:sz="4" w:space="0"/>
              <w:bottom w:val="single" w:color="auto" w:sz="4" w:space="0"/>
              <w:right w:val="single" w:color="auto" w:sz="4" w:space="0"/>
            </w:tcBorders>
            <w:vAlign w:val="center"/>
          </w:tcPr>
          <w:p w14:paraId="63D626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4"/>
                <w:szCs w:val="24"/>
                <w:highlight w:val="none"/>
              </w:rPr>
              <w:t>注：若无法获知样品的额定容积，以需要标明该条件为试验前提的项目则不开展。</w:t>
            </w:r>
          </w:p>
        </w:tc>
      </w:tr>
    </w:tbl>
    <w:p w14:paraId="7508329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执行企业标准、团体标准、地方标准的产品，检验项目参照上述内容执行。</w:t>
      </w:r>
    </w:p>
    <w:p w14:paraId="5F44096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2A469B8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3 判定规则</w:t>
      </w:r>
    </w:p>
    <w:p w14:paraId="3D451F0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ascii="Times New Roman" w:hAnsi="Times New Roman" w:eastAsia="楷体_GB2312" w:cs="楷体_GB2312"/>
          <w:color w:val="auto"/>
          <w:sz w:val="32"/>
          <w:szCs w:val="40"/>
          <w:highlight w:val="none"/>
        </w:rPr>
        <w:t>3.1</w:t>
      </w:r>
      <w:r>
        <w:rPr>
          <w:rFonts w:hint="eastAsia" w:ascii="Times New Roman" w:hAnsi="Times New Roman" w:eastAsia="楷体_GB2312" w:cs="楷体_GB2312"/>
          <w:color w:val="auto"/>
          <w:sz w:val="32"/>
          <w:szCs w:val="40"/>
          <w:highlight w:val="none"/>
        </w:rPr>
        <w:t xml:space="preserve"> </w:t>
      </w:r>
      <w:r>
        <w:rPr>
          <w:rFonts w:ascii="Times New Roman" w:hAnsi="Times New Roman" w:eastAsia="楷体_GB2312" w:cs="楷体_GB2312"/>
          <w:color w:val="auto"/>
          <w:sz w:val="32"/>
          <w:szCs w:val="40"/>
          <w:highlight w:val="none"/>
        </w:rPr>
        <w:t>依据标准</w:t>
      </w:r>
    </w:p>
    <w:p w14:paraId="14C7B8E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GB/T 28797</w:t>
      </w:r>
      <w:r>
        <w:rPr>
          <w:rFonts w:hint="eastAsia" w:ascii="Times New Roman" w:hAnsi="Times New Roman" w:cs="仿宋_GB2312"/>
          <w:color w:val="auto"/>
          <w:sz w:val="32"/>
          <w:szCs w:val="40"/>
          <w:highlight w:val="none"/>
          <w:lang w:eastAsia="zh-CN"/>
        </w:rPr>
        <w:t>—</w:t>
      </w:r>
      <w:r>
        <w:rPr>
          <w:rFonts w:ascii="Times New Roman" w:hAnsi="Times New Roman" w:eastAsia="仿宋_GB2312" w:cs="仿宋_GB2312"/>
          <w:color w:val="auto"/>
          <w:sz w:val="32"/>
          <w:szCs w:val="40"/>
          <w:highlight w:val="none"/>
        </w:rPr>
        <w:t>2012《室内塑料垃圾桶》</w:t>
      </w:r>
    </w:p>
    <w:p w14:paraId="13E9273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现行有效的企业标准、团体标准、地方标准及产品明示质量要求</w:t>
      </w:r>
    </w:p>
    <w:p w14:paraId="3928126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ascii="Times New Roman" w:hAnsi="Times New Roman" w:eastAsia="楷体_GB2312" w:cs="楷体_GB2312"/>
          <w:color w:val="auto"/>
          <w:sz w:val="32"/>
          <w:szCs w:val="40"/>
          <w:highlight w:val="none"/>
        </w:rPr>
        <w:t>3.2</w:t>
      </w:r>
      <w:r>
        <w:rPr>
          <w:rFonts w:hint="eastAsia" w:ascii="Times New Roman" w:hAnsi="Times New Roman" w:eastAsia="楷体_GB2312" w:cs="楷体_GB2312"/>
          <w:color w:val="auto"/>
          <w:sz w:val="32"/>
          <w:szCs w:val="40"/>
          <w:highlight w:val="none"/>
        </w:rPr>
        <w:t xml:space="preserve"> </w:t>
      </w:r>
      <w:r>
        <w:rPr>
          <w:rFonts w:ascii="Times New Roman" w:hAnsi="Times New Roman" w:eastAsia="楷体_GB2312" w:cs="楷体_GB2312"/>
          <w:color w:val="auto"/>
          <w:sz w:val="32"/>
          <w:szCs w:val="40"/>
          <w:highlight w:val="none"/>
        </w:rPr>
        <w:t>判定原则</w:t>
      </w:r>
    </w:p>
    <w:p w14:paraId="74E1BD8E">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00105232">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60A2004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3548749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146EED8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1A31C9B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Times New Roman" w:hAnsi="Times New Roman"/>
          <w:color w:val="auto"/>
          <w:highlight w:val="none"/>
        </w:rPr>
      </w:pPr>
      <w:r>
        <w:rPr>
          <w:rFonts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52A4480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41B45C8"/>
    <w:rsid w:val="04820544"/>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2</Pages>
  <Words>687</Words>
  <Characters>715</Characters>
  <Lines>1</Lines>
  <Paragraphs>1</Paragraphs>
  <TotalTime>157344000</TotalTime>
  <ScaleCrop>false</ScaleCrop>
  <LinksUpToDate>false</LinksUpToDate>
  <CharactersWithSpaces>722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2026-07-10T02:34:36Z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896C7D5F43174947B23A0B629599343E_13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